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sz w:val="21"/>
          <w:szCs w:val="21"/>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（あて先）</w:t>
      </w:r>
      <w:r w:rsidDel="00000000" w:rsidR="00000000" w:rsidRPr="00000000">
        <w:rPr>
          <w:rFonts w:ascii="MS Gothic" w:cs="MS Gothic" w:eastAsia="MS Gothic" w:hAnsi="MS Gothic"/>
          <w:sz w:val="21"/>
          <w:szCs w:val="21"/>
          <w:rtl w:val="0"/>
        </w:rPr>
        <w:t xml:space="preserve">秋田の観光創生推進会議</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Gothic" w:cs="MS Gothic" w:eastAsia="MS Gothic" w:hAnsi="MS Gothic"/>
          <w:sz w:val="21"/>
          <w:szCs w:val="21"/>
          <w:rtl w:val="0"/>
        </w:rPr>
        <w:t xml:space="preserve">会長　</w:t>
      </w: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鈴木　健太</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住　　　　所</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商号又は名称</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代表者職氏名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企画提案競技参加資格確認申請書</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sz w:val="21"/>
          <w:szCs w:val="21"/>
          <w:rtl w:val="0"/>
        </w:rPr>
        <w:t xml:space="preserve">「バレてない秋田スタンプラリーモバイル」業務</w:t>
      </w: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委託に係る企画提案競技参加資格について関係書類を添えて次のとおり申請します。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次の内容について、虚偽がないことを誓約します。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 w:right="0" w:hanging="510"/>
        <w:jc w:val="both"/>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（１）地方自治法施行令（昭和22年政令第16号）第167条の４の規定に該当しない者であること。</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 w:right="0" w:hanging="510"/>
        <w:jc w:val="both"/>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２）民事再生法（平成11年法律第225号）に基づき再生手続開始の申立てをしている者若しくは再生手続開始の申立がされている者（同法第33条第１項に規定する再生手続開始の決定を受けた者を除く。）又は会社更生法（平成14年法律第154号）に基づき更生手続き開始の申立てをしている者若しくは更生手続き開始の申立てがされている者（同法第41条第１項に規定する更生手続き開始の決定を受けた者を除く。）に該当し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 w:right="0" w:hanging="510"/>
        <w:jc w:val="both"/>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（３）企画提案競技参加資格確認申請書の提出日において、県からの受注業務に関し、指名停止の措置を受けていないこと。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 w:right="0" w:hanging="510"/>
        <w:jc w:val="both"/>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（４）秋田県暴力団排除条例（平成23年秋田県条例第29号）第２条に規定する暴力団員又は暴力団と密接な関係を有する者に該当しないこと。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 w:right="0" w:hanging="408"/>
        <w:jc w:val="both"/>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（５）共同企業体（以下「ＪＶ」という。）での参加の場合、代表者は（１）～（４）の全てを満たす者とし、構成員については（２）～（４）の条件を満たす者で構成されること。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 w:right="0" w:hanging="408"/>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 w:right="0" w:hanging="448"/>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＜本件にかかる連絡先＞</w:t>
      </w:r>
    </w:p>
    <w:tbl>
      <w:tblPr>
        <w:tblStyle w:val="Table1"/>
        <w:tblW w:w="8740.0" w:type="dxa"/>
        <w:jc w:val="left"/>
        <w:tblInd w:w="3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8"/>
        <w:gridCol w:w="6662"/>
        <w:tblGridChange w:id="0">
          <w:tblGrid>
            <w:gridCol w:w="2078"/>
            <w:gridCol w:w="66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所属</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担当者職氏名</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電話</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メールアドレス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 w:right="0" w:hanging="448"/>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701" w:top="1701"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Vg7VQiWWqteL+2g/QmGaCANBg==">CgMxLjA4AHIhMWZUblJsRkpEeFEyMEN4YWc3b1RDX3pOWEhhR3dRcWM2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