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あて先</w:t>
      </w:r>
    </w:p>
    <w:p>
      <w:pPr>
        <w:pStyle w:val="0"/>
        <w:ind w:firstLine="422" w:firstLineChars="15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秋田県平鹿地域振興局長</w:t>
      </w:r>
    </w:p>
    <w:p>
      <w:pPr>
        <w:pStyle w:val="0"/>
        <w:ind w:firstLine="422" w:firstLineChars="150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大判カラー複合機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の賃貸借契約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（月額単価）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45</Words>
  <Characters>261</Characters>
  <Application>JUST Note</Application>
  <Lines>2</Lines>
  <Paragraphs>1</Paragraphs>
  <Company> </Company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柴田　竹美</cp:lastModifiedBy>
  <cp:lastPrinted>2020-01-28T04:58:31Z</cp:lastPrinted>
  <dcterms:created xsi:type="dcterms:W3CDTF">2011-02-22T09:44:00Z</dcterms:created>
  <dcterms:modified xsi:type="dcterms:W3CDTF">2020-01-24T06:42:02Z</dcterms:modified>
  <cp:revision>14</cp:revision>
</cp:coreProperties>
</file>