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167C0A" w14:textId="1186BC5C" w:rsidR="00E56822" w:rsidRPr="002E2861" w:rsidRDefault="00743EB6" w:rsidP="002E2861">
      <w:pPr>
        <w:jc w:val="center"/>
        <w:rPr>
          <w:sz w:val="24"/>
          <w:szCs w:val="24"/>
        </w:rPr>
      </w:pPr>
      <w:r w:rsidRPr="002E2861">
        <w:rPr>
          <w:rFonts w:hint="eastAsia"/>
          <w:sz w:val="24"/>
          <w:szCs w:val="24"/>
        </w:rPr>
        <w:t>インバウンドターゲティング事業</w:t>
      </w:r>
      <w:r w:rsidR="002E2861" w:rsidRPr="002E2861">
        <w:rPr>
          <w:rFonts w:hint="eastAsia"/>
          <w:sz w:val="24"/>
          <w:szCs w:val="24"/>
        </w:rPr>
        <w:t>業務委託</w:t>
      </w:r>
      <w:r w:rsidR="00E56822" w:rsidRPr="002E2861">
        <w:rPr>
          <w:sz w:val="24"/>
          <w:szCs w:val="24"/>
        </w:rPr>
        <w:t>仕様書</w:t>
      </w:r>
    </w:p>
    <w:p w14:paraId="73A50324" w14:textId="77777777" w:rsidR="00E56822" w:rsidRDefault="00E56822" w:rsidP="00E56822"/>
    <w:p w14:paraId="60E5FB92" w14:textId="77777777" w:rsidR="002E2861" w:rsidRPr="002E2861" w:rsidRDefault="002E2861" w:rsidP="00E56822"/>
    <w:p w14:paraId="6056F3F6" w14:textId="2356074B" w:rsidR="00E56822" w:rsidRPr="00DA01F4" w:rsidRDefault="00CB1C4D" w:rsidP="00E56822">
      <w:r w:rsidRPr="00DA01F4">
        <w:rPr>
          <w:rFonts w:hint="eastAsia"/>
        </w:rPr>
        <w:t xml:space="preserve">１　</w:t>
      </w:r>
      <w:r w:rsidR="00E56822" w:rsidRPr="00DA01F4">
        <w:t>目的</w:t>
      </w:r>
    </w:p>
    <w:p w14:paraId="13F9B089" w14:textId="77777777" w:rsidR="00BE43AC" w:rsidRDefault="00BE43AC" w:rsidP="00BE43AC">
      <w:pPr>
        <w:ind w:leftChars="202" w:left="424" w:firstLineChars="100" w:firstLine="210"/>
      </w:pPr>
      <w:r>
        <w:rPr>
          <w:rFonts w:hint="eastAsia"/>
        </w:rPr>
        <w:t>秋田県のインバウンドにおけるさらなる認知拡大及び誘客促進に向け、オープンデータや既存データ、新たな調査等により取得するデータを活用した各種マーケティング分析を行い、より効果的な施策実施のため重点市場を選定する。また、調査分析による戦略的なアプローチを図ることを目的としたコミュニケーションフレームの作成などを実施する。</w:t>
      </w:r>
    </w:p>
    <w:p w14:paraId="021E416F" w14:textId="7E2A0987" w:rsidR="00752B77" w:rsidRPr="00570255" w:rsidRDefault="00BE43AC" w:rsidP="00BE43AC">
      <w:pPr>
        <w:ind w:leftChars="202" w:left="424" w:firstLineChars="100" w:firstLine="210"/>
      </w:pPr>
      <w:r>
        <w:rPr>
          <w:rFonts w:hint="eastAsia"/>
        </w:rPr>
        <w:t>合わせて、多角的な機会損失仮説や観光資源をはじめとした受入環境評価において、本県の中長期的な視点で取り組むべきインバウンドへのアプローチ戦略</w:t>
      </w:r>
      <w:r w:rsidR="0058716D">
        <w:rPr>
          <w:rFonts w:hint="eastAsia"/>
        </w:rPr>
        <w:t>を明らかにする</w:t>
      </w:r>
      <w:r>
        <w:rPr>
          <w:rFonts w:hint="eastAsia"/>
        </w:rPr>
        <w:t>。</w:t>
      </w:r>
    </w:p>
    <w:p w14:paraId="3F2DFA43" w14:textId="77777777" w:rsidR="00CB1C4D" w:rsidRPr="00570255" w:rsidRDefault="00CB1C4D" w:rsidP="00CB1C4D"/>
    <w:p w14:paraId="560418DE" w14:textId="77777777" w:rsidR="008221DB" w:rsidRPr="00570255" w:rsidRDefault="00CB1C4D" w:rsidP="00CB1C4D">
      <w:r w:rsidRPr="00570255">
        <w:rPr>
          <w:rFonts w:hint="eastAsia"/>
        </w:rPr>
        <w:t xml:space="preserve">２　</w:t>
      </w:r>
      <w:r w:rsidR="00E56822" w:rsidRPr="00570255">
        <w:t>契約期間</w:t>
      </w:r>
    </w:p>
    <w:p w14:paraId="3DA032E7" w14:textId="15FD7447" w:rsidR="00E56822" w:rsidRPr="00570255" w:rsidRDefault="00E56822" w:rsidP="008221DB">
      <w:pPr>
        <w:ind w:leftChars="202" w:left="424"/>
      </w:pPr>
      <w:r w:rsidRPr="00570255">
        <w:t>契約締結日から令和</w:t>
      </w:r>
      <w:r w:rsidRPr="00570255">
        <w:rPr>
          <w:rFonts w:hint="eastAsia"/>
        </w:rPr>
        <w:t>８</w:t>
      </w:r>
      <w:r w:rsidRPr="00570255">
        <w:t>年</w:t>
      </w:r>
      <w:r w:rsidRPr="00570255">
        <w:rPr>
          <w:rFonts w:hint="eastAsia"/>
        </w:rPr>
        <w:t>３</w:t>
      </w:r>
      <w:r w:rsidRPr="00570255">
        <w:t>月</w:t>
      </w:r>
      <w:r w:rsidR="00ED595B">
        <w:rPr>
          <w:rFonts w:hint="eastAsia"/>
        </w:rPr>
        <w:t>31</w:t>
      </w:r>
      <w:r w:rsidRPr="00570255">
        <w:t>日まで</w:t>
      </w:r>
    </w:p>
    <w:p w14:paraId="500F507F" w14:textId="77777777" w:rsidR="00CB1C4D" w:rsidRPr="00570255" w:rsidRDefault="00CB1C4D" w:rsidP="00CB1C4D"/>
    <w:p w14:paraId="799305E0" w14:textId="79D8786F" w:rsidR="00E56822" w:rsidRPr="00570255" w:rsidRDefault="008221DB" w:rsidP="00E56822">
      <w:r w:rsidRPr="00570255">
        <w:rPr>
          <w:rFonts w:hint="eastAsia"/>
        </w:rPr>
        <w:t>３</w:t>
      </w:r>
      <w:r w:rsidR="00CB1C4D" w:rsidRPr="00570255">
        <w:rPr>
          <w:rFonts w:hint="eastAsia"/>
        </w:rPr>
        <w:t xml:space="preserve">　</w:t>
      </w:r>
      <w:r w:rsidR="00E56822" w:rsidRPr="00570255">
        <w:t>業務内容</w:t>
      </w:r>
    </w:p>
    <w:p w14:paraId="1C0B00AE" w14:textId="77777777" w:rsidR="00375DAD" w:rsidRDefault="00375DAD" w:rsidP="00375DAD">
      <w:pPr>
        <w:ind w:firstLineChars="235" w:firstLine="493"/>
      </w:pPr>
      <w:r w:rsidRPr="00375DAD">
        <w:rPr>
          <w:rFonts w:hint="eastAsia"/>
        </w:rPr>
        <w:t>受託者は、業務目的等を達成するため、次の業務を行う。</w:t>
      </w:r>
    </w:p>
    <w:p w14:paraId="1830079F" w14:textId="6D37F7E7" w:rsidR="00375DAD" w:rsidRDefault="00375DAD" w:rsidP="00375DAD">
      <w:r>
        <w:rPr>
          <w:rFonts w:hint="eastAsia"/>
        </w:rPr>
        <w:t xml:space="preserve">　（１）業務スケジュール</w:t>
      </w:r>
    </w:p>
    <w:p w14:paraId="65800A37" w14:textId="2DBC7C0D" w:rsidR="00375DAD" w:rsidRDefault="00375DAD" w:rsidP="00375DAD">
      <w:pPr>
        <w:ind w:left="630" w:hangingChars="300" w:hanging="630"/>
      </w:pPr>
      <w:r>
        <w:rPr>
          <w:rFonts w:hint="eastAsia"/>
        </w:rPr>
        <w:t xml:space="preserve">　　　　中間報告、最終報告の二段階であることを踏まえた業務スケジュールを提出すること。また、それぞれで報告する概要は</w:t>
      </w:r>
      <w:r w:rsidR="0058716D">
        <w:rPr>
          <w:rFonts w:hint="eastAsia"/>
        </w:rPr>
        <w:t>事前に提案</w:t>
      </w:r>
      <w:r>
        <w:rPr>
          <w:rFonts w:hint="eastAsia"/>
        </w:rPr>
        <w:t>の上、受託後に県と協議の上、確定すること。</w:t>
      </w:r>
    </w:p>
    <w:p w14:paraId="1D88C005" w14:textId="2BF6A461" w:rsidR="00375DAD" w:rsidRDefault="00375DAD" w:rsidP="00375DAD">
      <w:pPr>
        <w:ind w:left="630" w:hangingChars="300" w:hanging="630"/>
      </w:pPr>
      <w:r>
        <w:rPr>
          <w:rFonts w:hint="eastAsia"/>
        </w:rPr>
        <w:t xml:space="preserve">　（２）事業の全体設計</w:t>
      </w:r>
    </w:p>
    <w:p w14:paraId="7767C5DF" w14:textId="3C94339F" w:rsidR="00375DAD" w:rsidRDefault="00375DAD" w:rsidP="00375DAD">
      <w:pPr>
        <w:ind w:left="630" w:hangingChars="300" w:hanging="630"/>
      </w:pPr>
      <w:r>
        <w:rPr>
          <w:rFonts w:hint="eastAsia"/>
        </w:rPr>
        <w:t xml:space="preserve">　　　　業務目的を踏まえて、事業の全体設計を示すこと。</w:t>
      </w:r>
    </w:p>
    <w:p w14:paraId="3B55A958" w14:textId="77777777" w:rsidR="000B772F" w:rsidRDefault="000B772F" w:rsidP="000B772F">
      <w:pPr>
        <w:ind w:left="630" w:hangingChars="300" w:hanging="630"/>
      </w:pPr>
      <w:r>
        <w:rPr>
          <w:rFonts w:hint="eastAsia"/>
        </w:rPr>
        <w:t xml:space="preserve">　（３）各種調査分析等</w:t>
      </w:r>
    </w:p>
    <w:p w14:paraId="604E6717" w14:textId="77777777" w:rsidR="000B772F" w:rsidRDefault="000B772F" w:rsidP="000B772F">
      <w:pPr>
        <w:ind w:left="630" w:hangingChars="300" w:hanging="630"/>
      </w:pPr>
      <w:r>
        <w:rPr>
          <w:rFonts w:hint="eastAsia"/>
        </w:rPr>
        <w:t xml:space="preserve">　　ア　優先すべき市場提示における</w:t>
      </w:r>
      <w:r>
        <w:t>DMP等マーケティング分析</w:t>
      </w:r>
    </w:p>
    <w:p w14:paraId="4D9B67B0" w14:textId="08A64706" w:rsidR="000B772F" w:rsidRDefault="000B772F" w:rsidP="000B772F">
      <w:pPr>
        <w:ind w:leftChars="300" w:left="840" w:hangingChars="100" w:hanging="210"/>
      </w:pPr>
      <w:r>
        <w:rPr>
          <w:rFonts w:hint="eastAsia"/>
        </w:rPr>
        <w:t>・各種分析において、ターゲットとして優先的にニーズ調査を行うべき国・地域の候補を５つ、来訪者実態の仮説を以て優先順位付けの上、示すこと。その際、コロナ流行２年前からコロナ禍、コロナ収束後から現在に至るまでの経緯に留意すること。なお、優先すべき市場に関し、実施する分析は以下のとおり。</w:t>
      </w:r>
    </w:p>
    <w:p w14:paraId="4FC2924E" w14:textId="2D9059C6" w:rsidR="000B772F" w:rsidRDefault="000B772F" w:rsidP="000B772F">
      <w:pPr>
        <w:ind w:leftChars="300" w:left="840" w:hangingChars="100" w:hanging="210"/>
      </w:pPr>
      <w:r>
        <w:rPr>
          <w:rFonts w:hint="eastAsia"/>
        </w:rPr>
        <w:t>①東北観光</w:t>
      </w:r>
      <w:r>
        <w:t>DMP内で取得可能な人流、消費</w:t>
      </w:r>
      <w:r w:rsidR="0058716D">
        <w:rPr>
          <w:rFonts w:hint="eastAsia"/>
        </w:rPr>
        <w:t>額</w:t>
      </w:r>
      <w:r>
        <w:t>、滞在日数等各種データの現状分析による強み・課</w:t>
      </w:r>
      <w:r>
        <w:rPr>
          <w:rFonts w:hint="eastAsia"/>
        </w:rPr>
        <w:t>題等を提示すること。期間別の分析を基本とするが、観光地別で分析が必要なものがあればその分析を排除するものではない。</w:t>
      </w:r>
    </w:p>
    <w:p w14:paraId="7673A76E" w14:textId="32EFC9E0" w:rsidR="000B772F" w:rsidRDefault="000B772F" w:rsidP="000B772F">
      <w:pPr>
        <w:ind w:leftChars="300" w:left="840" w:hangingChars="100" w:hanging="210"/>
      </w:pPr>
      <w:r>
        <w:rPr>
          <w:rFonts w:hint="eastAsia"/>
        </w:rPr>
        <w:t>②</w:t>
      </w:r>
      <w:r>
        <w:t>訪日外国人の来訪拠点の一つである仙台空港からの</w:t>
      </w:r>
      <w:r w:rsidR="0058716D">
        <w:rPr>
          <w:rFonts w:hint="eastAsia"/>
        </w:rPr>
        <w:t>動きを、どのような交通機関を使用しているか等</w:t>
      </w:r>
      <w:r w:rsidR="004305EA">
        <w:rPr>
          <w:rFonts w:hint="eastAsia"/>
        </w:rPr>
        <w:t>、</w:t>
      </w:r>
      <w:r w:rsidR="0058716D">
        <w:rPr>
          <w:rFonts w:hint="eastAsia"/>
        </w:rPr>
        <w:t>線で見えるような</w:t>
      </w:r>
      <w:r>
        <w:t>行動分析を行い、また本県の特徴について、隣県との比較分析や隣県から広域周遊における</w:t>
      </w:r>
      <w:r w:rsidR="0058716D">
        <w:rPr>
          <w:rFonts w:hint="eastAsia"/>
        </w:rPr>
        <w:t>秋田県が旅行先として選ばれていない原因</w:t>
      </w:r>
      <w:r>
        <w:t>の可視化を行うこと。本分析において特に重視するポイントを示すこと。</w:t>
      </w:r>
    </w:p>
    <w:p w14:paraId="4DEB12C8" w14:textId="316F927F" w:rsidR="000B772F" w:rsidRDefault="000B772F" w:rsidP="000B772F">
      <w:pPr>
        <w:ind w:left="630" w:hangingChars="300" w:hanging="630"/>
      </w:pPr>
      <w:r>
        <w:rPr>
          <w:rFonts w:hint="eastAsia"/>
        </w:rPr>
        <w:t xml:space="preserve">　　イ　優先すべき市場のニーズ把握等</w:t>
      </w:r>
    </w:p>
    <w:p w14:paraId="3CB8A9E6" w14:textId="5C8ED35D" w:rsidR="000B772F" w:rsidRDefault="000B772F" w:rsidP="000B772F">
      <w:pPr>
        <w:ind w:left="840" w:hangingChars="400" w:hanging="840"/>
      </w:pPr>
      <w:r>
        <w:rPr>
          <w:rFonts w:hint="eastAsia"/>
        </w:rPr>
        <w:t xml:space="preserve">　　　・優先すべき市場の旅行者の動向、ニーズ、情報収集行動、予約手法、旅行スタイル等を</w:t>
      </w:r>
      <w:r w:rsidR="0058716D">
        <w:rPr>
          <w:rFonts w:hint="eastAsia"/>
        </w:rPr>
        <w:t>アンケート等を用いてターゲット市場の声を収集し、</w:t>
      </w:r>
      <w:r>
        <w:rPr>
          <w:rFonts w:hint="eastAsia"/>
        </w:rPr>
        <w:t>詳細に調査・分析する。</w:t>
      </w:r>
      <w:r w:rsidR="0058716D">
        <w:rPr>
          <w:rFonts w:hint="eastAsia"/>
        </w:rPr>
        <w:t>なお、アンケートのサンプ</w:t>
      </w:r>
      <w:r w:rsidR="0058716D">
        <w:rPr>
          <w:rFonts w:hint="eastAsia"/>
        </w:rPr>
        <w:lastRenderedPageBreak/>
        <w:t>ル数については１市場あたり400を下限とし、効果が見込める数を提案すること。</w:t>
      </w:r>
      <w:r>
        <w:rPr>
          <w:rFonts w:hint="eastAsia"/>
        </w:rPr>
        <w:t>設問設定においては、秋田</w:t>
      </w:r>
      <w:r w:rsidR="00A309F4">
        <w:rPr>
          <w:rFonts w:hint="eastAsia"/>
        </w:rPr>
        <w:t>県が旅行先として選ばれない原因</w:t>
      </w:r>
      <w:r>
        <w:rPr>
          <w:rFonts w:hint="eastAsia"/>
        </w:rPr>
        <w:t>等の「旅行前の情報」、コロナウイルス感染症拡大前から現在における意識の変化等に留意すること。なお、内容は、受託後県との協議の上で確定すること。</w:t>
      </w:r>
    </w:p>
    <w:p w14:paraId="190E7E22" w14:textId="6E4F8EAB" w:rsidR="000B772F" w:rsidRDefault="000B772F" w:rsidP="000B772F">
      <w:pPr>
        <w:ind w:left="630" w:hangingChars="300" w:hanging="630"/>
      </w:pPr>
      <w:r>
        <w:rPr>
          <w:rFonts w:hint="eastAsia"/>
        </w:rPr>
        <w:t xml:space="preserve">　　　・分析レポートにおいては、誘客に効果的な仮説を</w:t>
      </w:r>
      <w:r w:rsidR="0058716D">
        <w:rPr>
          <w:rFonts w:hint="eastAsia"/>
        </w:rPr>
        <w:t>できるだけ多く記載</w:t>
      </w:r>
      <w:r>
        <w:rPr>
          <w:rFonts w:hint="eastAsia"/>
        </w:rPr>
        <w:t>すること。</w:t>
      </w:r>
    </w:p>
    <w:p w14:paraId="5C09AF1F" w14:textId="2F6294FE" w:rsidR="000B772F" w:rsidRDefault="000B772F" w:rsidP="000B772F">
      <w:pPr>
        <w:ind w:left="630" w:hangingChars="300" w:hanging="630"/>
      </w:pPr>
      <w:r>
        <w:rPr>
          <w:rFonts w:hint="eastAsia"/>
        </w:rPr>
        <w:t xml:space="preserve">　　ウ　競合地域事例の提示</w:t>
      </w:r>
    </w:p>
    <w:p w14:paraId="08B94B94" w14:textId="662511E7" w:rsidR="000B772F" w:rsidRDefault="000B772F" w:rsidP="000B772F">
      <w:pPr>
        <w:ind w:leftChars="300" w:left="840" w:hangingChars="100" w:hanging="210"/>
      </w:pPr>
      <w:r>
        <w:rPr>
          <w:rFonts w:hint="eastAsia"/>
        </w:rPr>
        <w:t>・優先すべき市場に対し、競合となる地域の動向や事例を提示すること。対象国・地域及びそれに対応する国内競合地域提示については、受託後県との協議の上、確定すること。</w:t>
      </w:r>
    </w:p>
    <w:p w14:paraId="47953406" w14:textId="0931AB50" w:rsidR="000B772F" w:rsidRDefault="000B772F" w:rsidP="000B772F">
      <w:pPr>
        <w:ind w:left="630" w:hangingChars="300" w:hanging="630"/>
      </w:pPr>
      <w:r>
        <w:rPr>
          <w:rFonts w:hint="eastAsia"/>
        </w:rPr>
        <w:t xml:space="preserve">　　エ　環境分析</w:t>
      </w:r>
    </w:p>
    <w:p w14:paraId="1F97D6B1" w14:textId="5185CD24" w:rsidR="000B772F" w:rsidRDefault="000B772F" w:rsidP="000B772F">
      <w:pPr>
        <w:ind w:leftChars="300" w:left="840" w:hangingChars="100" w:hanging="210"/>
      </w:pPr>
      <w:r>
        <w:rPr>
          <w:rFonts w:hint="eastAsia"/>
        </w:rPr>
        <w:t>・</w:t>
      </w:r>
      <w:r>
        <w:t>PEST分析（観光を取り巻く一般的な政治・経済・技術環境分析）及び３C分析（東北や</w:t>
      </w:r>
      <w:r>
        <w:rPr>
          <w:rFonts w:hint="eastAsia"/>
        </w:rPr>
        <w:t>秋田県をとりまく顧客・競合・秋田県自体の現状分析）を行うこと。</w:t>
      </w:r>
    </w:p>
    <w:p w14:paraId="1F140258" w14:textId="40A30BD9" w:rsidR="000B772F" w:rsidRDefault="000B772F" w:rsidP="000B772F">
      <w:pPr>
        <w:ind w:left="630" w:hangingChars="300" w:hanging="630"/>
      </w:pPr>
      <w:r>
        <w:rPr>
          <w:rFonts w:hint="eastAsia"/>
        </w:rPr>
        <w:t xml:space="preserve">　　オ　県内観光資源の整理と魅力の再発見</w:t>
      </w:r>
    </w:p>
    <w:p w14:paraId="1A953F1A" w14:textId="77777777" w:rsidR="00E71C45" w:rsidRDefault="000B772F" w:rsidP="00E71C45">
      <w:pPr>
        <w:ind w:left="840" w:hangingChars="400" w:hanging="840"/>
      </w:pPr>
      <w:r>
        <w:rPr>
          <w:rFonts w:hint="eastAsia"/>
        </w:rPr>
        <w:t xml:space="preserve">　　　・新たな観光コンテンツや体験プログラム開発に繋がる可能性を検討するため、訪日外国人の視点から、既存の観光資源（自然、温泉、食、文化、祭り、体験コンテンツ等）の魅力を再評価し、訴求ポイントの整理を行うこと。具体的には、イで取得された調査データや、</w:t>
      </w:r>
      <w:r>
        <w:t>DMPで取得できる観光地別データを用いた比較を行い、機会損失箇所も併せて提示</w:t>
      </w:r>
      <w:r>
        <w:rPr>
          <w:rFonts w:hint="eastAsia"/>
        </w:rPr>
        <w:t>すること。</w:t>
      </w:r>
    </w:p>
    <w:p w14:paraId="643D8A78" w14:textId="18EA4A88" w:rsidR="00E71C45" w:rsidRDefault="00E71C45" w:rsidP="00E71C45">
      <w:pPr>
        <w:ind w:leftChars="100" w:left="840" w:hangingChars="300" w:hanging="630"/>
      </w:pPr>
      <w:r>
        <w:rPr>
          <w:rFonts w:hint="eastAsia"/>
        </w:rPr>
        <w:t>（４）あるべき姿の示唆とギャップの可視化</w:t>
      </w:r>
    </w:p>
    <w:p w14:paraId="39F769F3" w14:textId="7AC06019" w:rsidR="000B772F" w:rsidRDefault="00E71C45" w:rsidP="00E71C45">
      <w:pPr>
        <w:ind w:leftChars="100" w:left="840" w:hangingChars="300" w:hanging="630"/>
      </w:pPr>
      <w:r>
        <w:rPr>
          <w:rFonts w:hint="eastAsia"/>
        </w:rPr>
        <w:t xml:space="preserve">　　・（３）において取得した調査分析結果を以て、あるべき姿を定量的・定性的に示すこと。　　　　　　　最適な顧客体験や提供価値に関するフレームの検討に活用するため、ギャップの可視化においては、予め機会損失箇所や強みの整理を行ったうえで、課題ツリーで取りまとめること。レポーテトの記載事項について留意事項があれば県と協議を行うこと。</w:t>
      </w:r>
    </w:p>
    <w:p w14:paraId="5299C82B" w14:textId="7D2127EF" w:rsidR="00E71C45" w:rsidRDefault="00E71C45" w:rsidP="00E71C45">
      <w:pPr>
        <w:ind w:firstLineChars="100" w:firstLine="210"/>
      </w:pPr>
      <w:r>
        <w:rPr>
          <w:rFonts w:hint="eastAsia"/>
        </w:rPr>
        <w:t>（５）各種分析に基づいたターゲット国・地域におけるカスタマージャーニーとペルソナの設定</w:t>
      </w:r>
    </w:p>
    <w:p w14:paraId="23A3148F" w14:textId="6EA5AC59" w:rsidR="00E71C45" w:rsidRDefault="00E71C45" w:rsidP="00E71C45">
      <w:pPr>
        <w:ind w:leftChars="300" w:left="840" w:hangingChars="100" w:hanging="210"/>
      </w:pPr>
      <w:r>
        <w:rPr>
          <w:rFonts w:hint="eastAsia"/>
        </w:rPr>
        <w:t>・それぞれの旅行における意思決定プロセスや情報接触ポイントを明らかにするため、以下ア、イを実施する。</w:t>
      </w:r>
    </w:p>
    <w:p w14:paraId="4258753C" w14:textId="59FC861C" w:rsidR="00E71C45" w:rsidRDefault="00E71C45" w:rsidP="00E71C45">
      <w:pPr>
        <w:ind w:firstLineChars="100" w:firstLine="210"/>
      </w:pPr>
      <w:r>
        <w:rPr>
          <w:rFonts w:hint="eastAsia"/>
        </w:rPr>
        <w:t xml:space="preserve">　ア　ターゲット国・地域におけるカスタマージャーニーを設定する。</w:t>
      </w:r>
    </w:p>
    <w:p w14:paraId="6179EF62" w14:textId="47B1CC5E" w:rsidR="00E71C45" w:rsidRDefault="00E71C45" w:rsidP="00E71C45">
      <w:pPr>
        <w:ind w:leftChars="200" w:left="840" w:hangingChars="200" w:hanging="420"/>
      </w:pPr>
      <w:r>
        <w:rPr>
          <w:rFonts w:hint="eastAsia"/>
        </w:rPr>
        <w:t>イ　ターゲット国・地域における旅行者層（年齢、性別、所得層、興味関心、旅行形態等）をペルソナにて定義する。</w:t>
      </w:r>
    </w:p>
    <w:p w14:paraId="19D54C9E" w14:textId="65BB8861" w:rsidR="000B772F" w:rsidRDefault="00E71C45" w:rsidP="00E71C45">
      <w:pPr>
        <w:ind w:firstLineChars="100" w:firstLine="210"/>
      </w:pPr>
      <w:r>
        <w:rPr>
          <w:rFonts w:hint="eastAsia"/>
        </w:rPr>
        <w:t xml:space="preserve">　※ア、イともに、分析結果から重要カスタマー像を特定。設定数は協議とする。</w:t>
      </w:r>
    </w:p>
    <w:p w14:paraId="18BE6696" w14:textId="77B808DB" w:rsidR="00E71C45" w:rsidRDefault="00E71C45" w:rsidP="00E71C45">
      <w:pPr>
        <w:ind w:firstLineChars="100" w:firstLine="210"/>
      </w:pPr>
      <w:r>
        <w:rPr>
          <w:rFonts w:hint="eastAsia"/>
        </w:rPr>
        <w:t>（６）コミュニケーションフレームの作成</w:t>
      </w:r>
    </w:p>
    <w:p w14:paraId="5B72555E" w14:textId="1901D379" w:rsidR="00E71C45" w:rsidRDefault="00E71C45" w:rsidP="00E71C45">
      <w:pPr>
        <w:ind w:leftChars="200" w:left="840" w:hangingChars="200" w:hanging="420"/>
      </w:pPr>
      <w:r>
        <w:rPr>
          <w:rFonts w:hint="eastAsia"/>
        </w:rPr>
        <w:t>ア　設定したターゲット市場別に対し、主要な課題と対応策を明確にした</w:t>
      </w:r>
      <w:r>
        <w:t>12カ月のコミュニケーションフレームを作成する。その際</w:t>
      </w:r>
      <w:r>
        <w:rPr>
          <w:rFonts w:hint="eastAsia"/>
        </w:rPr>
        <w:t>東北観光</w:t>
      </w:r>
      <w:r>
        <w:t>DMP内WebサイトデータやSNSデータ等の根拠を以て、コミュニケーション領域における機会損失箇所も抽出する。</w:t>
      </w:r>
    </w:p>
    <w:p w14:paraId="55171994" w14:textId="7C05F8BA" w:rsidR="000B772F" w:rsidRDefault="00E71C45" w:rsidP="00E71C45">
      <w:pPr>
        <w:ind w:leftChars="100" w:left="840" w:hangingChars="300" w:hanging="630"/>
      </w:pPr>
      <w:r>
        <w:t xml:space="preserve">　イ　秋田県が行うインバウンドプロモーションにおける具体なKPI（例：ウェブサイトアク</w:t>
      </w:r>
      <w:r>
        <w:rPr>
          <w:rFonts w:hint="eastAsia"/>
        </w:rPr>
        <w:t xml:space="preserve">　　　　　</w:t>
      </w:r>
      <w:r>
        <w:t xml:space="preserve"> セス数、SNSエンゲージメント率</w:t>
      </w:r>
      <w:r>
        <w:rPr>
          <w:rFonts w:hint="eastAsia"/>
        </w:rPr>
        <w:t>、認知度</w:t>
      </w:r>
      <w:r>
        <w:t>等）設定に対し試算支援を行う。</w:t>
      </w:r>
      <w:r>
        <w:rPr>
          <w:rFonts w:hint="eastAsia"/>
        </w:rPr>
        <w:t>な</w:t>
      </w:r>
      <w:r w:rsidRPr="00E71C45">
        <w:rPr>
          <w:rFonts w:hint="eastAsia"/>
        </w:rPr>
        <w:t>お、</w:t>
      </w:r>
      <w:r w:rsidRPr="00E71C45">
        <w:t>KPIの設定にあたって</w:t>
      </w:r>
      <w:r w:rsidR="007D000F">
        <w:rPr>
          <w:rFonts w:hint="eastAsia"/>
        </w:rPr>
        <w:t>は</w:t>
      </w:r>
      <w:r>
        <w:rPr>
          <w:rFonts w:hint="eastAsia"/>
        </w:rPr>
        <w:t>推計ロジックに基づくものを</w:t>
      </w:r>
      <w:r w:rsidR="007D000F">
        <w:rPr>
          <w:rFonts w:hint="eastAsia"/>
        </w:rPr>
        <w:t>可能とするが</w:t>
      </w:r>
      <w:r>
        <w:rPr>
          <w:rFonts w:hint="eastAsia"/>
        </w:rPr>
        <w:t>、一定程度、対象市場における他地域でのプロモーション類似業務実績ノウハウを前提とした支援であることが望ましい。</w:t>
      </w:r>
    </w:p>
    <w:p w14:paraId="53E24860" w14:textId="1FD5BD48" w:rsidR="00E71C45" w:rsidRDefault="00E71C45" w:rsidP="00E71C45">
      <w:pPr>
        <w:ind w:firstLineChars="100" w:firstLine="210"/>
      </w:pPr>
      <w:r>
        <w:rPr>
          <w:rFonts w:hint="eastAsia"/>
        </w:rPr>
        <w:t>（７）独自提案</w:t>
      </w:r>
    </w:p>
    <w:p w14:paraId="13059D93" w14:textId="5B725BA1" w:rsidR="00E71C45" w:rsidRDefault="00E71C45" w:rsidP="00E71C45">
      <w:pPr>
        <w:ind w:leftChars="100" w:left="840" w:hangingChars="300" w:hanging="630"/>
      </w:pPr>
      <w:r>
        <w:rPr>
          <w:rFonts w:hint="eastAsia"/>
        </w:rPr>
        <w:t xml:space="preserve">　　　上記（１）～（６）の事項に加え、本事業の効果を高めると考えられる事項がある場合は、　　　　</w:t>
      </w:r>
      <w:r>
        <w:rPr>
          <w:rFonts w:hint="eastAsia"/>
        </w:rPr>
        <w:lastRenderedPageBreak/>
        <w:t>提案すること。ただし、実施に要する経費は、必須提案事項に要する経費と併せて、委託料の上　限の範囲内とする。</w:t>
      </w:r>
    </w:p>
    <w:p w14:paraId="342022A8" w14:textId="77777777" w:rsidR="00142F1B" w:rsidRDefault="00142F1B" w:rsidP="00E71C45">
      <w:pPr>
        <w:ind w:leftChars="100" w:left="840" w:hangingChars="300" w:hanging="630"/>
      </w:pPr>
    </w:p>
    <w:p w14:paraId="35836032" w14:textId="01B6863D" w:rsidR="00703217" w:rsidRPr="00570255" w:rsidRDefault="00703217" w:rsidP="00703217">
      <w:pPr>
        <w:ind w:leftChars="100" w:left="630" w:hangingChars="200" w:hanging="420"/>
      </w:pPr>
      <w:r w:rsidRPr="00570255">
        <w:rPr>
          <w:rFonts w:hint="eastAsia"/>
        </w:rPr>
        <w:t>４　実績報告書及び成果物の提出</w:t>
      </w:r>
    </w:p>
    <w:p w14:paraId="430D91F5" w14:textId="59BA4620" w:rsidR="00703217" w:rsidRPr="00570255" w:rsidRDefault="00703217" w:rsidP="00703217">
      <w:pPr>
        <w:ind w:leftChars="100" w:left="630" w:hangingChars="200" w:hanging="420"/>
      </w:pPr>
      <w:r w:rsidRPr="00570255">
        <w:rPr>
          <w:rFonts w:hint="eastAsia"/>
        </w:rPr>
        <w:t xml:space="preserve">　　令和７年１２月１</w:t>
      </w:r>
      <w:r w:rsidR="0058716D">
        <w:rPr>
          <w:rFonts w:hint="eastAsia"/>
        </w:rPr>
        <w:t>０</w:t>
      </w:r>
      <w:r w:rsidRPr="00570255">
        <w:rPr>
          <w:rFonts w:hint="eastAsia"/>
        </w:rPr>
        <w:t>日（</w:t>
      </w:r>
      <w:r w:rsidR="0058716D">
        <w:rPr>
          <w:rFonts w:hint="eastAsia"/>
        </w:rPr>
        <w:t>水</w:t>
      </w:r>
      <w:r w:rsidRPr="00570255">
        <w:rPr>
          <w:rFonts w:hint="eastAsia"/>
        </w:rPr>
        <w:t>）までにその時点での中間報告書を作成し、提出すること。</w:t>
      </w:r>
    </w:p>
    <w:p w14:paraId="06F9BAE4" w14:textId="67468E03" w:rsidR="00703217" w:rsidRPr="00570255" w:rsidRDefault="00703217" w:rsidP="00703217">
      <w:pPr>
        <w:ind w:leftChars="100" w:left="630" w:hangingChars="200" w:hanging="420"/>
      </w:pPr>
      <w:r w:rsidRPr="00570255">
        <w:rPr>
          <w:rFonts w:hint="eastAsia"/>
        </w:rPr>
        <w:t xml:space="preserve">　　令和８年３月１３日（金）までに最終報告書を作成し、提出すること。</w:t>
      </w:r>
    </w:p>
    <w:p w14:paraId="0C70BEEB" w14:textId="77777777" w:rsidR="00CB1C4D" w:rsidRPr="00570255" w:rsidRDefault="00CB1C4D" w:rsidP="00E56822"/>
    <w:p w14:paraId="79A12F35" w14:textId="572D9B14" w:rsidR="00CB1C4D" w:rsidRPr="00570255" w:rsidRDefault="00703217" w:rsidP="00CB1C4D">
      <w:pPr>
        <w:ind w:leftChars="100" w:left="630" w:hangingChars="200" w:hanging="420"/>
      </w:pPr>
      <w:r w:rsidRPr="00570255">
        <w:rPr>
          <w:rFonts w:hint="eastAsia"/>
        </w:rPr>
        <w:t>５</w:t>
      </w:r>
      <w:r w:rsidR="00CB1C4D" w:rsidRPr="00570255">
        <w:rPr>
          <w:rFonts w:hint="eastAsia"/>
        </w:rPr>
        <w:t xml:space="preserve">　契約に関する条件等</w:t>
      </w:r>
    </w:p>
    <w:p w14:paraId="379D08BA" w14:textId="77777777" w:rsidR="00CB1C4D" w:rsidRPr="00570255" w:rsidRDefault="00CB1C4D" w:rsidP="00CB1C4D">
      <w:pPr>
        <w:ind w:leftChars="100" w:left="630" w:hangingChars="200" w:hanging="420"/>
      </w:pPr>
      <w:r w:rsidRPr="00570255">
        <w:rPr>
          <w:rFonts w:hint="eastAsia"/>
        </w:rPr>
        <w:t>（１）報告書の提出</w:t>
      </w:r>
    </w:p>
    <w:p w14:paraId="1E64A6CE" w14:textId="77777777" w:rsidR="00CB1C4D" w:rsidRPr="00570255" w:rsidRDefault="00CB1C4D" w:rsidP="00CB1C4D">
      <w:pPr>
        <w:ind w:leftChars="100" w:left="630" w:hangingChars="200" w:hanging="420"/>
      </w:pPr>
      <w:r w:rsidRPr="00570255">
        <w:rPr>
          <w:rFonts w:hint="eastAsia"/>
        </w:rPr>
        <w:t>・　本業務の実施状況については、月例報告のほか、契約期間満了時には実績報告書を提出すること。</w:t>
      </w:r>
    </w:p>
    <w:p w14:paraId="16600182" w14:textId="77777777" w:rsidR="00CB1C4D" w:rsidRPr="00570255" w:rsidRDefault="00CB1C4D" w:rsidP="00CB1C4D">
      <w:pPr>
        <w:ind w:leftChars="100" w:left="630" w:hangingChars="200" w:hanging="420"/>
      </w:pPr>
      <w:r w:rsidRPr="00570255">
        <w:rPr>
          <w:rFonts w:hint="eastAsia"/>
        </w:rPr>
        <w:t>・　上記報告のほか、必要な場合は適宜書面にて状況を報告すること。</w:t>
      </w:r>
    </w:p>
    <w:p w14:paraId="7C269571" w14:textId="77777777" w:rsidR="00CB1C4D" w:rsidRPr="00570255" w:rsidRDefault="00CB1C4D" w:rsidP="00CB1C4D">
      <w:pPr>
        <w:ind w:leftChars="100" w:left="630" w:hangingChars="200" w:hanging="420"/>
      </w:pPr>
      <w:r w:rsidRPr="00570255">
        <w:rPr>
          <w:rFonts w:hint="eastAsia"/>
        </w:rPr>
        <w:t>（２）再委託等について</w:t>
      </w:r>
    </w:p>
    <w:p w14:paraId="6F3FF93F" w14:textId="77777777" w:rsidR="00CB1C4D" w:rsidRPr="00570255" w:rsidRDefault="00CB1C4D" w:rsidP="00CB1C4D">
      <w:pPr>
        <w:ind w:leftChars="100" w:left="630" w:hangingChars="200" w:hanging="420"/>
      </w:pPr>
      <w:r w:rsidRPr="00570255">
        <w:rPr>
          <w:rFonts w:hint="eastAsia"/>
        </w:rPr>
        <w:t>・　受託者は本業務のすべてを第三者に再委託し、又は、請け負わせてはいけない。</w:t>
      </w:r>
    </w:p>
    <w:p w14:paraId="0449E6FE" w14:textId="77777777" w:rsidR="00CB1C4D" w:rsidRPr="00570255" w:rsidRDefault="00CB1C4D" w:rsidP="00CB1C4D">
      <w:pPr>
        <w:ind w:leftChars="100" w:left="630" w:hangingChars="200" w:hanging="420"/>
      </w:pPr>
      <w:r w:rsidRPr="00570255">
        <w:rPr>
          <w:rFonts w:hint="eastAsia"/>
        </w:rPr>
        <w:t>・　受託者は本業務の一部を第三者に再委託することができるが、その場合は再委託先の概要と責任者を明記し、再委託する業務の内容、実施体制等を事前に書面にて提出して委託者の承認を得るものとする。</w:t>
      </w:r>
    </w:p>
    <w:p w14:paraId="222F508D" w14:textId="77777777" w:rsidR="00CB1C4D" w:rsidRPr="00570255" w:rsidRDefault="00CB1C4D" w:rsidP="00CB1C4D">
      <w:pPr>
        <w:ind w:leftChars="100" w:left="630" w:hangingChars="200" w:hanging="420"/>
      </w:pPr>
      <w:r w:rsidRPr="00570255">
        <w:rPr>
          <w:rFonts w:hint="eastAsia"/>
        </w:rPr>
        <w:t>（３）業務の履行に関する措置</w:t>
      </w:r>
    </w:p>
    <w:p w14:paraId="0C32067F" w14:textId="77777777" w:rsidR="00CB1C4D" w:rsidRPr="00570255" w:rsidRDefault="00CB1C4D" w:rsidP="00CB1C4D">
      <w:pPr>
        <w:ind w:leftChars="100" w:left="630" w:hangingChars="200" w:hanging="420"/>
      </w:pPr>
      <w:r w:rsidRPr="00570255">
        <w:rPr>
          <w:rFonts w:hint="eastAsia"/>
        </w:rPr>
        <w:t>・　委託者は本業務（再委託した場合を含む）の履行につき著しく不適当と認められるときは、受託者に対してその理由を明示した書面により必要な措置をとるべきことを要求する場合がある。</w:t>
      </w:r>
    </w:p>
    <w:p w14:paraId="762FDE5F" w14:textId="77777777" w:rsidR="00CB1C4D" w:rsidRPr="00570255" w:rsidRDefault="00CB1C4D" w:rsidP="00CB1C4D">
      <w:pPr>
        <w:ind w:leftChars="100" w:left="630" w:hangingChars="200" w:hanging="420"/>
      </w:pPr>
      <w:r w:rsidRPr="00570255">
        <w:rPr>
          <w:rFonts w:hint="eastAsia"/>
        </w:rPr>
        <w:t>・　受託者は前記要求があったときは、当該要求に係る対応を決定し、１０日以内に委託者に書面で提出しなければならない。</w:t>
      </w:r>
    </w:p>
    <w:p w14:paraId="2572D11C" w14:textId="77777777" w:rsidR="00CB1C4D" w:rsidRPr="00570255" w:rsidRDefault="00CB1C4D" w:rsidP="00CB1C4D">
      <w:pPr>
        <w:ind w:leftChars="100" w:left="630" w:hangingChars="200" w:hanging="420"/>
      </w:pPr>
      <w:r w:rsidRPr="00570255">
        <w:rPr>
          <w:rFonts w:hint="eastAsia"/>
        </w:rPr>
        <w:t>（４）その他</w:t>
      </w:r>
    </w:p>
    <w:p w14:paraId="40CCD68B" w14:textId="77777777" w:rsidR="00CB1C4D" w:rsidRPr="00570255" w:rsidRDefault="00CB1C4D" w:rsidP="00CB1C4D">
      <w:pPr>
        <w:ind w:leftChars="100" w:left="630" w:hangingChars="200" w:hanging="420"/>
      </w:pPr>
      <w:r w:rsidRPr="00570255">
        <w:rPr>
          <w:rFonts w:hint="eastAsia"/>
        </w:rPr>
        <w:t>・　受託者は本業務（再委託をした場合を含む）を通じて知り得た情報を機密情報として扱い目的外の利用、第三者に開示、漏えいしてはならない。また、契約終了後も同様とする。</w:t>
      </w:r>
    </w:p>
    <w:p w14:paraId="0D4F7541" w14:textId="77777777" w:rsidR="00CB1C4D" w:rsidRPr="00570255" w:rsidRDefault="00CB1C4D" w:rsidP="00CB1C4D">
      <w:pPr>
        <w:ind w:leftChars="100" w:left="630" w:hangingChars="200" w:hanging="420"/>
      </w:pPr>
      <w:r w:rsidRPr="00570255">
        <w:rPr>
          <w:rFonts w:hint="eastAsia"/>
        </w:rPr>
        <w:t>・　受託者は本業務（再委託をした場合を含む）を履行する上で、著作権、肖像権や個人情報を取り扱う場合は、関係法令等を遵守すること。</w:t>
      </w:r>
    </w:p>
    <w:p w14:paraId="3A2CAA36" w14:textId="3B5E1731" w:rsidR="000C4440" w:rsidRDefault="00CB1C4D" w:rsidP="000C4440">
      <w:pPr>
        <w:ind w:leftChars="100" w:left="630" w:hangingChars="200" w:hanging="420"/>
      </w:pPr>
      <w:r w:rsidRPr="00570255">
        <w:rPr>
          <w:rFonts w:hint="eastAsia"/>
        </w:rPr>
        <w:t>・　この仕様書に定めのない</w:t>
      </w:r>
      <w:r>
        <w:rPr>
          <w:rFonts w:hint="eastAsia"/>
        </w:rPr>
        <w:t>事項については、両者協議の上、決定する。</w:t>
      </w:r>
    </w:p>
    <w:p w14:paraId="22F2D965" w14:textId="0F0507E4" w:rsidR="00E7575C" w:rsidRDefault="000C4440" w:rsidP="00E7575C">
      <w:pPr>
        <w:ind w:left="630" w:hanging="420"/>
      </w:pPr>
      <w:r>
        <w:rPr>
          <w:rFonts w:hint="eastAsia"/>
        </w:rPr>
        <w:t xml:space="preserve">・　</w:t>
      </w:r>
      <w:r w:rsidR="00E7575C">
        <w:rPr>
          <w:rFonts w:hint="eastAsia"/>
        </w:rPr>
        <w:t>東北観光</w:t>
      </w:r>
      <w:r w:rsidR="00E7575C">
        <w:t>DMPの使用については、以下のルールに従うこと</w:t>
      </w:r>
    </w:p>
    <w:p w14:paraId="598ACA7C" w14:textId="1890B09F" w:rsidR="00E7575C" w:rsidRDefault="00E7575C" w:rsidP="00D13ECE">
      <w:pPr>
        <w:ind w:firstLineChars="350" w:firstLine="735"/>
      </w:pPr>
      <w:r>
        <w:rPr>
          <w:rFonts w:hint="eastAsia"/>
        </w:rPr>
        <w:t xml:space="preserve">①　</w:t>
      </w:r>
      <w:r>
        <w:t>受託者は委託業務の仕様書の範囲内で東北観光DMPを利用するものとする。</w:t>
      </w:r>
    </w:p>
    <w:p w14:paraId="3C86EC3C" w14:textId="328D47E8" w:rsidR="00E7575C" w:rsidRDefault="00E7575C" w:rsidP="00D13ECE">
      <w:pPr>
        <w:ind w:leftChars="337" w:left="849" w:hangingChars="67" w:hanging="141"/>
      </w:pPr>
      <w:r>
        <w:rPr>
          <w:rFonts w:hint="eastAsia"/>
        </w:rPr>
        <w:t xml:space="preserve">②　</w:t>
      </w:r>
      <w:r>
        <w:t>各有償データのダウンロードや成果物について、仕様書の範囲を超えて受託者が外部へ公開する行為を禁止する。</w:t>
      </w:r>
    </w:p>
    <w:p w14:paraId="33D921B6" w14:textId="3E2138B7" w:rsidR="00E7575C" w:rsidRDefault="00E7575C" w:rsidP="00D13ECE">
      <w:pPr>
        <w:ind w:leftChars="337" w:left="918" w:hangingChars="100" w:hanging="210"/>
      </w:pPr>
      <w:r>
        <w:rPr>
          <w:rFonts w:hint="eastAsia"/>
        </w:rPr>
        <w:t xml:space="preserve">③　</w:t>
      </w:r>
      <w:r>
        <w:t>東北観光DMPからダウンロードした各種データは委託期間終了後に受託者の端末から全て削除するものとする。</w:t>
      </w:r>
    </w:p>
    <w:p w14:paraId="3459CF6E" w14:textId="77777777" w:rsidR="000C4440" w:rsidRPr="00E56822" w:rsidRDefault="000C4440" w:rsidP="000C4440">
      <w:pPr>
        <w:ind w:leftChars="100" w:left="630" w:hangingChars="200" w:hanging="420"/>
      </w:pPr>
    </w:p>
    <w:sectPr w:rsidR="000C4440" w:rsidRPr="00E56822" w:rsidSect="00C15F85">
      <w:headerReference w:type="first" r:id="rId7"/>
      <w:pgSz w:w="11906" w:h="16838"/>
      <w:pgMar w:top="1440" w:right="1080" w:bottom="1440" w:left="1080"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109E12" w14:textId="77777777" w:rsidR="00E54DCF" w:rsidRDefault="00E54DCF" w:rsidP="00CD0B13">
      <w:r>
        <w:separator/>
      </w:r>
    </w:p>
  </w:endnote>
  <w:endnote w:type="continuationSeparator" w:id="0">
    <w:p w14:paraId="345B6605" w14:textId="77777777" w:rsidR="00E54DCF" w:rsidRDefault="00E54DCF" w:rsidP="00CD0B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20C8C4" w14:textId="77777777" w:rsidR="00E54DCF" w:rsidRDefault="00E54DCF" w:rsidP="00CD0B13">
      <w:r>
        <w:separator/>
      </w:r>
    </w:p>
  </w:footnote>
  <w:footnote w:type="continuationSeparator" w:id="0">
    <w:p w14:paraId="70A7DB85" w14:textId="77777777" w:rsidR="00E54DCF" w:rsidRDefault="00E54DCF" w:rsidP="00CD0B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1F108" w14:textId="41EA3EAC" w:rsidR="00C15F85" w:rsidRPr="00C15F85" w:rsidRDefault="00C15F85" w:rsidP="00C15F85">
    <w:pPr>
      <w:pStyle w:val="af0"/>
      <w:jc w:val="right"/>
      <w:rPr>
        <w:sz w:val="24"/>
        <w:szCs w:val="24"/>
      </w:rPr>
    </w:pPr>
    <w:r w:rsidRPr="00C15F85">
      <w:rPr>
        <w:rFonts w:hint="eastAsia"/>
        <w:sz w:val="24"/>
        <w:szCs w:val="24"/>
      </w:rPr>
      <w:t>&lt;</w:t>
    </w:r>
    <w:r w:rsidRPr="00C15F85">
      <w:rPr>
        <w:rFonts w:hint="eastAsia"/>
        <w:sz w:val="24"/>
        <w:szCs w:val="24"/>
      </w:rPr>
      <w:t>資料２&gt;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B22CB"/>
    <w:multiLevelType w:val="hybridMultilevel"/>
    <w:tmpl w:val="3CD89658"/>
    <w:lvl w:ilvl="0" w:tplc="4F1C7314">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1" w15:restartNumberingAfterBreak="0">
    <w:nsid w:val="0D691CB9"/>
    <w:multiLevelType w:val="hybridMultilevel"/>
    <w:tmpl w:val="93EC65C2"/>
    <w:lvl w:ilvl="0" w:tplc="E2240CF0">
      <w:start w:val="1"/>
      <w:numFmt w:val="decimalEnclosedCircle"/>
      <w:lvlText w:val="%1"/>
      <w:lvlJc w:val="left"/>
      <w:pPr>
        <w:ind w:left="990" w:hanging="360"/>
      </w:pPr>
      <w:rPr>
        <w:rFonts w:hint="eastAsia"/>
      </w:rPr>
    </w:lvl>
    <w:lvl w:ilvl="1" w:tplc="04090017" w:tentative="1">
      <w:start w:val="1"/>
      <w:numFmt w:val="aiueoFullWidth"/>
      <w:lvlText w:val="(%2)"/>
      <w:lvlJc w:val="left"/>
      <w:pPr>
        <w:ind w:left="1510" w:hanging="440"/>
      </w:pPr>
    </w:lvl>
    <w:lvl w:ilvl="2" w:tplc="04090011" w:tentative="1">
      <w:start w:val="1"/>
      <w:numFmt w:val="decimalEnclosedCircle"/>
      <w:lvlText w:val="%3"/>
      <w:lvlJc w:val="left"/>
      <w:pPr>
        <w:ind w:left="1950" w:hanging="440"/>
      </w:pPr>
    </w:lvl>
    <w:lvl w:ilvl="3" w:tplc="0409000F" w:tentative="1">
      <w:start w:val="1"/>
      <w:numFmt w:val="decimal"/>
      <w:lvlText w:val="%4."/>
      <w:lvlJc w:val="left"/>
      <w:pPr>
        <w:ind w:left="2390" w:hanging="440"/>
      </w:pPr>
    </w:lvl>
    <w:lvl w:ilvl="4" w:tplc="04090017" w:tentative="1">
      <w:start w:val="1"/>
      <w:numFmt w:val="aiueoFullWidth"/>
      <w:lvlText w:val="(%5)"/>
      <w:lvlJc w:val="left"/>
      <w:pPr>
        <w:ind w:left="2830" w:hanging="440"/>
      </w:pPr>
    </w:lvl>
    <w:lvl w:ilvl="5" w:tplc="04090011" w:tentative="1">
      <w:start w:val="1"/>
      <w:numFmt w:val="decimalEnclosedCircle"/>
      <w:lvlText w:val="%6"/>
      <w:lvlJc w:val="left"/>
      <w:pPr>
        <w:ind w:left="3270" w:hanging="440"/>
      </w:pPr>
    </w:lvl>
    <w:lvl w:ilvl="6" w:tplc="0409000F" w:tentative="1">
      <w:start w:val="1"/>
      <w:numFmt w:val="decimal"/>
      <w:lvlText w:val="%7."/>
      <w:lvlJc w:val="left"/>
      <w:pPr>
        <w:ind w:left="3710" w:hanging="440"/>
      </w:pPr>
    </w:lvl>
    <w:lvl w:ilvl="7" w:tplc="04090017" w:tentative="1">
      <w:start w:val="1"/>
      <w:numFmt w:val="aiueoFullWidth"/>
      <w:lvlText w:val="(%8)"/>
      <w:lvlJc w:val="left"/>
      <w:pPr>
        <w:ind w:left="4150" w:hanging="440"/>
      </w:pPr>
    </w:lvl>
    <w:lvl w:ilvl="8" w:tplc="04090011" w:tentative="1">
      <w:start w:val="1"/>
      <w:numFmt w:val="decimalEnclosedCircle"/>
      <w:lvlText w:val="%9"/>
      <w:lvlJc w:val="left"/>
      <w:pPr>
        <w:ind w:left="4590" w:hanging="440"/>
      </w:pPr>
    </w:lvl>
  </w:abstractNum>
  <w:abstractNum w:abstractNumId="2" w15:restartNumberingAfterBreak="0">
    <w:nsid w:val="1F873C37"/>
    <w:multiLevelType w:val="hybridMultilevel"/>
    <w:tmpl w:val="A9DAAAE0"/>
    <w:lvl w:ilvl="0" w:tplc="42C26590">
      <w:numFmt w:val="bullet"/>
      <w:lvlText w:val="・"/>
      <w:lvlJc w:val="left"/>
      <w:pPr>
        <w:ind w:left="570" w:hanging="360"/>
      </w:pPr>
      <w:rPr>
        <w:rFonts w:ascii="游明朝" w:eastAsia="游明朝" w:hAnsi="游明朝" w:cstheme="minorBidi" w:hint="eastAsia"/>
      </w:rPr>
    </w:lvl>
    <w:lvl w:ilvl="1" w:tplc="0409000B" w:tentative="1">
      <w:start w:val="1"/>
      <w:numFmt w:val="bullet"/>
      <w:lvlText w:val=""/>
      <w:lvlJc w:val="left"/>
      <w:pPr>
        <w:ind w:left="1090" w:hanging="440"/>
      </w:pPr>
      <w:rPr>
        <w:rFonts w:ascii="Wingdings" w:hAnsi="Wingdings" w:hint="default"/>
      </w:rPr>
    </w:lvl>
    <w:lvl w:ilvl="2" w:tplc="0409000D" w:tentative="1">
      <w:start w:val="1"/>
      <w:numFmt w:val="bullet"/>
      <w:lvlText w:val=""/>
      <w:lvlJc w:val="left"/>
      <w:pPr>
        <w:ind w:left="1530" w:hanging="440"/>
      </w:pPr>
      <w:rPr>
        <w:rFonts w:ascii="Wingdings" w:hAnsi="Wingdings" w:hint="default"/>
      </w:rPr>
    </w:lvl>
    <w:lvl w:ilvl="3" w:tplc="04090001" w:tentative="1">
      <w:start w:val="1"/>
      <w:numFmt w:val="bullet"/>
      <w:lvlText w:val=""/>
      <w:lvlJc w:val="left"/>
      <w:pPr>
        <w:ind w:left="1970" w:hanging="440"/>
      </w:pPr>
      <w:rPr>
        <w:rFonts w:ascii="Wingdings" w:hAnsi="Wingdings" w:hint="default"/>
      </w:rPr>
    </w:lvl>
    <w:lvl w:ilvl="4" w:tplc="0409000B" w:tentative="1">
      <w:start w:val="1"/>
      <w:numFmt w:val="bullet"/>
      <w:lvlText w:val=""/>
      <w:lvlJc w:val="left"/>
      <w:pPr>
        <w:ind w:left="2410" w:hanging="440"/>
      </w:pPr>
      <w:rPr>
        <w:rFonts w:ascii="Wingdings" w:hAnsi="Wingdings" w:hint="default"/>
      </w:rPr>
    </w:lvl>
    <w:lvl w:ilvl="5" w:tplc="0409000D" w:tentative="1">
      <w:start w:val="1"/>
      <w:numFmt w:val="bullet"/>
      <w:lvlText w:val=""/>
      <w:lvlJc w:val="left"/>
      <w:pPr>
        <w:ind w:left="2850" w:hanging="440"/>
      </w:pPr>
      <w:rPr>
        <w:rFonts w:ascii="Wingdings" w:hAnsi="Wingdings" w:hint="default"/>
      </w:rPr>
    </w:lvl>
    <w:lvl w:ilvl="6" w:tplc="04090001" w:tentative="1">
      <w:start w:val="1"/>
      <w:numFmt w:val="bullet"/>
      <w:lvlText w:val=""/>
      <w:lvlJc w:val="left"/>
      <w:pPr>
        <w:ind w:left="3290" w:hanging="440"/>
      </w:pPr>
      <w:rPr>
        <w:rFonts w:ascii="Wingdings" w:hAnsi="Wingdings" w:hint="default"/>
      </w:rPr>
    </w:lvl>
    <w:lvl w:ilvl="7" w:tplc="0409000B" w:tentative="1">
      <w:start w:val="1"/>
      <w:numFmt w:val="bullet"/>
      <w:lvlText w:val=""/>
      <w:lvlJc w:val="left"/>
      <w:pPr>
        <w:ind w:left="3730" w:hanging="440"/>
      </w:pPr>
      <w:rPr>
        <w:rFonts w:ascii="Wingdings" w:hAnsi="Wingdings" w:hint="default"/>
      </w:rPr>
    </w:lvl>
    <w:lvl w:ilvl="8" w:tplc="0409000D" w:tentative="1">
      <w:start w:val="1"/>
      <w:numFmt w:val="bullet"/>
      <w:lvlText w:val=""/>
      <w:lvlJc w:val="left"/>
      <w:pPr>
        <w:ind w:left="4170" w:hanging="440"/>
      </w:pPr>
      <w:rPr>
        <w:rFonts w:ascii="Wingdings" w:hAnsi="Wingdings" w:hint="default"/>
      </w:rPr>
    </w:lvl>
  </w:abstractNum>
  <w:abstractNum w:abstractNumId="3" w15:restartNumberingAfterBreak="0">
    <w:nsid w:val="2AD03111"/>
    <w:multiLevelType w:val="multilevel"/>
    <w:tmpl w:val="10A866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8025C9"/>
    <w:multiLevelType w:val="hybridMultilevel"/>
    <w:tmpl w:val="4882188C"/>
    <w:lvl w:ilvl="0" w:tplc="F2B01356">
      <w:start w:val="1"/>
      <w:numFmt w:val="decimalFullWidth"/>
      <w:lvlText w:val="（%1）"/>
      <w:lvlJc w:val="left"/>
      <w:pPr>
        <w:ind w:left="924" w:hanging="720"/>
      </w:pPr>
      <w:rPr>
        <w:rFonts w:hint="default"/>
      </w:rPr>
    </w:lvl>
    <w:lvl w:ilvl="1" w:tplc="04090017" w:tentative="1">
      <w:start w:val="1"/>
      <w:numFmt w:val="aiueoFullWidth"/>
      <w:lvlText w:val="(%2)"/>
      <w:lvlJc w:val="left"/>
      <w:pPr>
        <w:ind w:left="1084" w:hanging="440"/>
      </w:pPr>
    </w:lvl>
    <w:lvl w:ilvl="2" w:tplc="04090011" w:tentative="1">
      <w:start w:val="1"/>
      <w:numFmt w:val="decimalEnclosedCircle"/>
      <w:lvlText w:val="%3"/>
      <w:lvlJc w:val="left"/>
      <w:pPr>
        <w:ind w:left="1524" w:hanging="440"/>
      </w:pPr>
    </w:lvl>
    <w:lvl w:ilvl="3" w:tplc="0409000F" w:tentative="1">
      <w:start w:val="1"/>
      <w:numFmt w:val="decimal"/>
      <w:lvlText w:val="%4."/>
      <w:lvlJc w:val="left"/>
      <w:pPr>
        <w:ind w:left="1964" w:hanging="440"/>
      </w:pPr>
    </w:lvl>
    <w:lvl w:ilvl="4" w:tplc="04090017" w:tentative="1">
      <w:start w:val="1"/>
      <w:numFmt w:val="aiueoFullWidth"/>
      <w:lvlText w:val="(%5)"/>
      <w:lvlJc w:val="left"/>
      <w:pPr>
        <w:ind w:left="2404" w:hanging="440"/>
      </w:pPr>
    </w:lvl>
    <w:lvl w:ilvl="5" w:tplc="04090011" w:tentative="1">
      <w:start w:val="1"/>
      <w:numFmt w:val="decimalEnclosedCircle"/>
      <w:lvlText w:val="%6"/>
      <w:lvlJc w:val="left"/>
      <w:pPr>
        <w:ind w:left="2844" w:hanging="440"/>
      </w:pPr>
    </w:lvl>
    <w:lvl w:ilvl="6" w:tplc="0409000F" w:tentative="1">
      <w:start w:val="1"/>
      <w:numFmt w:val="decimal"/>
      <w:lvlText w:val="%7."/>
      <w:lvlJc w:val="left"/>
      <w:pPr>
        <w:ind w:left="3284" w:hanging="440"/>
      </w:pPr>
    </w:lvl>
    <w:lvl w:ilvl="7" w:tplc="04090017" w:tentative="1">
      <w:start w:val="1"/>
      <w:numFmt w:val="aiueoFullWidth"/>
      <w:lvlText w:val="(%8)"/>
      <w:lvlJc w:val="left"/>
      <w:pPr>
        <w:ind w:left="3724" w:hanging="440"/>
      </w:pPr>
    </w:lvl>
    <w:lvl w:ilvl="8" w:tplc="04090011" w:tentative="1">
      <w:start w:val="1"/>
      <w:numFmt w:val="decimalEnclosedCircle"/>
      <w:lvlText w:val="%9"/>
      <w:lvlJc w:val="left"/>
      <w:pPr>
        <w:ind w:left="4164" w:hanging="440"/>
      </w:pPr>
    </w:lvl>
  </w:abstractNum>
  <w:num w:numId="1" w16cid:durableId="691299051">
    <w:abstractNumId w:val="3"/>
  </w:num>
  <w:num w:numId="2" w16cid:durableId="612905347">
    <w:abstractNumId w:val="0"/>
  </w:num>
  <w:num w:numId="3" w16cid:durableId="1771851915">
    <w:abstractNumId w:val="2"/>
  </w:num>
  <w:num w:numId="4" w16cid:durableId="869033616">
    <w:abstractNumId w:val="1"/>
  </w:num>
  <w:num w:numId="5" w16cid:durableId="11843185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6E5"/>
    <w:rsid w:val="000108A6"/>
    <w:rsid w:val="000116F5"/>
    <w:rsid w:val="00015120"/>
    <w:rsid w:val="00040348"/>
    <w:rsid w:val="00044BCC"/>
    <w:rsid w:val="00081D7F"/>
    <w:rsid w:val="000921A2"/>
    <w:rsid w:val="000B772F"/>
    <w:rsid w:val="000C12E1"/>
    <w:rsid w:val="000C4440"/>
    <w:rsid w:val="000D5558"/>
    <w:rsid w:val="0010385F"/>
    <w:rsid w:val="00142F1B"/>
    <w:rsid w:val="0014531B"/>
    <w:rsid w:val="00174103"/>
    <w:rsid w:val="00181A24"/>
    <w:rsid w:val="001B2DD5"/>
    <w:rsid w:val="001B34B7"/>
    <w:rsid w:val="001E7CD0"/>
    <w:rsid w:val="00236890"/>
    <w:rsid w:val="00250EB3"/>
    <w:rsid w:val="0025750E"/>
    <w:rsid w:val="002706ED"/>
    <w:rsid w:val="002729DB"/>
    <w:rsid w:val="002820CF"/>
    <w:rsid w:val="002B087A"/>
    <w:rsid w:val="002E2861"/>
    <w:rsid w:val="002E66A7"/>
    <w:rsid w:val="002F082B"/>
    <w:rsid w:val="003143C2"/>
    <w:rsid w:val="00333F26"/>
    <w:rsid w:val="00345FFF"/>
    <w:rsid w:val="00375DAD"/>
    <w:rsid w:val="003804F1"/>
    <w:rsid w:val="0038245E"/>
    <w:rsid w:val="0038382D"/>
    <w:rsid w:val="003C71D0"/>
    <w:rsid w:val="003D22EF"/>
    <w:rsid w:val="003E4869"/>
    <w:rsid w:val="003E5A03"/>
    <w:rsid w:val="004305EA"/>
    <w:rsid w:val="00436447"/>
    <w:rsid w:val="004655BA"/>
    <w:rsid w:val="004B7301"/>
    <w:rsid w:val="005206D1"/>
    <w:rsid w:val="00520FCB"/>
    <w:rsid w:val="00524066"/>
    <w:rsid w:val="00570255"/>
    <w:rsid w:val="0057382F"/>
    <w:rsid w:val="0058716D"/>
    <w:rsid w:val="005932E3"/>
    <w:rsid w:val="005C3F56"/>
    <w:rsid w:val="005D4A86"/>
    <w:rsid w:val="005D627F"/>
    <w:rsid w:val="005F3829"/>
    <w:rsid w:val="005F5C5C"/>
    <w:rsid w:val="005F6DB8"/>
    <w:rsid w:val="00617D81"/>
    <w:rsid w:val="00625227"/>
    <w:rsid w:val="00630673"/>
    <w:rsid w:val="00632BA4"/>
    <w:rsid w:val="006E4A09"/>
    <w:rsid w:val="006E5983"/>
    <w:rsid w:val="007012DE"/>
    <w:rsid w:val="00703217"/>
    <w:rsid w:val="00730408"/>
    <w:rsid w:val="00736D37"/>
    <w:rsid w:val="00743EB6"/>
    <w:rsid w:val="00745C87"/>
    <w:rsid w:val="00752B77"/>
    <w:rsid w:val="00756895"/>
    <w:rsid w:val="00757944"/>
    <w:rsid w:val="00767947"/>
    <w:rsid w:val="007760BB"/>
    <w:rsid w:val="007B2578"/>
    <w:rsid w:val="007C51E1"/>
    <w:rsid w:val="007D000F"/>
    <w:rsid w:val="007D0545"/>
    <w:rsid w:val="007E7610"/>
    <w:rsid w:val="00803400"/>
    <w:rsid w:val="00805782"/>
    <w:rsid w:val="00806D94"/>
    <w:rsid w:val="0082117F"/>
    <w:rsid w:val="008221DB"/>
    <w:rsid w:val="0083458A"/>
    <w:rsid w:val="00850ADF"/>
    <w:rsid w:val="0085770F"/>
    <w:rsid w:val="00872B53"/>
    <w:rsid w:val="00884BBE"/>
    <w:rsid w:val="00895CD3"/>
    <w:rsid w:val="00896048"/>
    <w:rsid w:val="008A3A19"/>
    <w:rsid w:val="008B1AE9"/>
    <w:rsid w:val="008B2EE3"/>
    <w:rsid w:val="008B5FE5"/>
    <w:rsid w:val="008C1A38"/>
    <w:rsid w:val="008D1426"/>
    <w:rsid w:val="00911F37"/>
    <w:rsid w:val="00962C37"/>
    <w:rsid w:val="00972488"/>
    <w:rsid w:val="00973F1A"/>
    <w:rsid w:val="0099350C"/>
    <w:rsid w:val="009C0445"/>
    <w:rsid w:val="009D4FC7"/>
    <w:rsid w:val="009F0A00"/>
    <w:rsid w:val="00A309F4"/>
    <w:rsid w:val="00A378CD"/>
    <w:rsid w:val="00A476B4"/>
    <w:rsid w:val="00A727B0"/>
    <w:rsid w:val="00A740B6"/>
    <w:rsid w:val="00A96D90"/>
    <w:rsid w:val="00AB7CC7"/>
    <w:rsid w:val="00AC6B76"/>
    <w:rsid w:val="00AD4833"/>
    <w:rsid w:val="00B13BCC"/>
    <w:rsid w:val="00B42E14"/>
    <w:rsid w:val="00B45CBB"/>
    <w:rsid w:val="00B652DE"/>
    <w:rsid w:val="00B81C18"/>
    <w:rsid w:val="00B94DBE"/>
    <w:rsid w:val="00BB527C"/>
    <w:rsid w:val="00BC76E5"/>
    <w:rsid w:val="00BE43AC"/>
    <w:rsid w:val="00BE7488"/>
    <w:rsid w:val="00C0403E"/>
    <w:rsid w:val="00C15F85"/>
    <w:rsid w:val="00C51AF4"/>
    <w:rsid w:val="00C60E59"/>
    <w:rsid w:val="00C738F4"/>
    <w:rsid w:val="00C93308"/>
    <w:rsid w:val="00CB1C4D"/>
    <w:rsid w:val="00CB1DE4"/>
    <w:rsid w:val="00CC25F5"/>
    <w:rsid w:val="00CC4701"/>
    <w:rsid w:val="00CC642A"/>
    <w:rsid w:val="00CD0B13"/>
    <w:rsid w:val="00CD5BC3"/>
    <w:rsid w:val="00CE0559"/>
    <w:rsid w:val="00CF1852"/>
    <w:rsid w:val="00D00CBE"/>
    <w:rsid w:val="00D06222"/>
    <w:rsid w:val="00D13ECE"/>
    <w:rsid w:val="00D72537"/>
    <w:rsid w:val="00D83393"/>
    <w:rsid w:val="00DA01F4"/>
    <w:rsid w:val="00DB583A"/>
    <w:rsid w:val="00DC6FB2"/>
    <w:rsid w:val="00DD3496"/>
    <w:rsid w:val="00E5492B"/>
    <w:rsid w:val="00E54A67"/>
    <w:rsid w:val="00E54DCF"/>
    <w:rsid w:val="00E56822"/>
    <w:rsid w:val="00E71C45"/>
    <w:rsid w:val="00E75363"/>
    <w:rsid w:val="00E7575C"/>
    <w:rsid w:val="00EC7563"/>
    <w:rsid w:val="00ED595B"/>
    <w:rsid w:val="00F00224"/>
    <w:rsid w:val="00F04776"/>
    <w:rsid w:val="00F17D5E"/>
    <w:rsid w:val="00F26A05"/>
    <w:rsid w:val="00F61A0A"/>
    <w:rsid w:val="00F8121E"/>
    <w:rsid w:val="00F91304"/>
    <w:rsid w:val="00F924C6"/>
    <w:rsid w:val="00FE6402"/>
    <w:rsid w:val="3ED4B86C"/>
    <w:rsid w:val="5CFFAED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2E64A85"/>
  <w15:chartTrackingRefBased/>
  <w15:docId w15:val="{BDE90856-3488-4FF9-935B-5068DA7FA3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BC76E5"/>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BC76E5"/>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BC76E5"/>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BC76E5"/>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BC76E5"/>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BC76E5"/>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BC76E5"/>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BC76E5"/>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BC76E5"/>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BC76E5"/>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BC76E5"/>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BC76E5"/>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BC76E5"/>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BC76E5"/>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BC76E5"/>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BC76E5"/>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BC76E5"/>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BC76E5"/>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BC76E5"/>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BC76E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C76E5"/>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BC76E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C76E5"/>
    <w:pPr>
      <w:spacing w:before="160" w:after="160"/>
      <w:jc w:val="center"/>
    </w:pPr>
    <w:rPr>
      <w:i/>
      <w:iCs/>
      <w:color w:val="404040" w:themeColor="text1" w:themeTint="BF"/>
    </w:rPr>
  </w:style>
  <w:style w:type="character" w:customStyle="1" w:styleId="a8">
    <w:name w:val="引用文 (文字)"/>
    <w:basedOn w:val="a0"/>
    <w:link w:val="a7"/>
    <w:uiPriority w:val="29"/>
    <w:rsid w:val="00BC76E5"/>
    <w:rPr>
      <w:i/>
      <w:iCs/>
      <w:color w:val="404040" w:themeColor="text1" w:themeTint="BF"/>
    </w:rPr>
  </w:style>
  <w:style w:type="paragraph" w:styleId="a9">
    <w:name w:val="List Paragraph"/>
    <w:basedOn w:val="a"/>
    <w:uiPriority w:val="34"/>
    <w:qFormat/>
    <w:rsid w:val="00BC76E5"/>
    <w:pPr>
      <w:ind w:left="720"/>
      <w:contextualSpacing/>
    </w:pPr>
  </w:style>
  <w:style w:type="character" w:styleId="21">
    <w:name w:val="Intense Emphasis"/>
    <w:basedOn w:val="a0"/>
    <w:uiPriority w:val="21"/>
    <w:qFormat/>
    <w:rsid w:val="00BC76E5"/>
    <w:rPr>
      <w:i/>
      <w:iCs/>
      <w:color w:val="0F4761" w:themeColor="accent1" w:themeShade="BF"/>
    </w:rPr>
  </w:style>
  <w:style w:type="paragraph" w:styleId="22">
    <w:name w:val="Intense Quote"/>
    <w:basedOn w:val="a"/>
    <w:next w:val="a"/>
    <w:link w:val="23"/>
    <w:uiPriority w:val="30"/>
    <w:qFormat/>
    <w:rsid w:val="00BC76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BC76E5"/>
    <w:rPr>
      <w:i/>
      <w:iCs/>
      <w:color w:val="0F4761" w:themeColor="accent1" w:themeShade="BF"/>
    </w:rPr>
  </w:style>
  <w:style w:type="character" w:styleId="24">
    <w:name w:val="Intense Reference"/>
    <w:basedOn w:val="a0"/>
    <w:uiPriority w:val="32"/>
    <w:qFormat/>
    <w:rsid w:val="00BC76E5"/>
    <w:rPr>
      <w:b/>
      <w:bCs/>
      <w:smallCaps/>
      <w:color w:val="0F4761" w:themeColor="accent1" w:themeShade="BF"/>
      <w:spacing w:val="5"/>
    </w:rPr>
  </w:style>
  <w:style w:type="paragraph" w:styleId="aa">
    <w:name w:val="Revision"/>
    <w:hidden/>
    <w:uiPriority w:val="99"/>
    <w:semiHidden/>
    <w:rsid w:val="00B42E14"/>
  </w:style>
  <w:style w:type="character" w:styleId="ab">
    <w:name w:val="annotation reference"/>
    <w:basedOn w:val="a0"/>
    <w:uiPriority w:val="99"/>
    <w:semiHidden/>
    <w:unhideWhenUsed/>
    <w:rsid w:val="00C0403E"/>
    <w:rPr>
      <w:sz w:val="18"/>
      <w:szCs w:val="18"/>
    </w:rPr>
  </w:style>
  <w:style w:type="paragraph" w:styleId="ac">
    <w:name w:val="annotation text"/>
    <w:basedOn w:val="a"/>
    <w:link w:val="ad"/>
    <w:uiPriority w:val="99"/>
    <w:unhideWhenUsed/>
    <w:rsid w:val="00C0403E"/>
    <w:pPr>
      <w:jc w:val="left"/>
    </w:pPr>
  </w:style>
  <w:style w:type="character" w:customStyle="1" w:styleId="ad">
    <w:name w:val="コメント文字列 (文字)"/>
    <w:basedOn w:val="a0"/>
    <w:link w:val="ac"/>
    <w:uiPriority w:val="99"/>
    <w:rsid w:val="00C0403E"/>
  </w:style>
  <w:style w:type="paragraph" w:styleId="ae">
    <w:name w:val="annotation subject"/>
    <w:basedOn w:val="ac"/>
    <w:next w:val="ac"/>
    <w:link w:val="af"/>
    <w:uiPriority w:val="99"/>
    <w:semiHidden/>
    <w:unhideWhenUsed/>
    <w:rsid w:val="00C0403E"/>
    <w:rPr>
      <w:b/>
      <w:bCs/>
    </w:rPr>
  </w:style>
  <w:style w:type="character" w:customStyle="1" w:styleId="af">
    <w:name w:val="コメント内容 (文字)"/>
    <w:basedOn w:val="ad"/>
    <w:link w:val="ae"/>
    <w:uiPriority w:val="99"/>
    <w:semiHidden/>
    <w:rsid w:val="00C0403E"/>
    <w:rPr>
      <w:b/>
      <w:bCs/>
    </w:rPr>
  </w:style>
  <w:style w:type="paragraph" w:styleId="af0">
    <w:name w:val="header"/>
    <w:basedOn w:val="a"/>
    <w:link w:val="af1"/>
    <w:uiPriority w:val="99"/>
    <w:unhideWhenUsed/>
    <w:rsid w:val="00CD0B13"/>
    <w:pPr>
      <w:tabs>
        <w:tab w:val="center" w:pos="4252"/>
        <w:tab w:val="right" w:pos="8504"/>
      </w:tabs>
      <w:snapToGrid w:val="0"/>
    </w:pPr>
  </w:style>
  <w:style w:type="character" w:customStyle="1" w:styleId="af1">
    <w:name w:val="ヘッダー (文字)"/>
    <w:basedOn w:val="a0"/>
    <w:link w:val="af0"/>
    <w:uiPriority w:val="99"/>
    <w:rsid w:val="00CD0B13"/>
  </w:style>
  <w:style w:type="paragraph" w:styleId="af2">
    <w:name w:val="footer"/>
    <w:basedOn w:val="a"/>
    <w:link w:val="af3"/>
    <w:uiPriority w:val="99"/>
    <w:unhideWhenUsed/>
    <w:rsid w:val="00CD0B13"/>
    <w:pPr>
      <w:tabs>
        <w:tab w:val="center" w:pos="4252"/>
        <w:tab w:val="right" w:pos="8504"/>
      </w:tabs>
      <w:snapToGrid w:val="0"/>
    </w:pPr>
  </w:style>
  <w:style w:type="character" w:customStyle="1" w:styleId="af3">
    <w:name w:val="フッター (文字)"/>
    <w:basedOn w:val="a0"/>
    <w:link w:val="af2"/>
    <w:uiPriority w:val="99"/>
    <w:rsid w:val="00CD0B1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81553">
      <w:bodyDiv w:val="1"/>
      <w:marLeft w:val="0"/>
      <w:marRight w:val="0"/>
      <w:marTop w:val="0"/>
      <w:marBottom w:val="0"/>
      <w:divBdr>
        <w:top w:val="none" w:sz="0" w:space="0" w:color="auto"/>
        <w:left w:val="none" w:sz="0" w:space="0" w:color="auto"/>
        <w:bottom w:val="none" w:sz="0" w:space="0" w:color="auto"/>
        <w:right w:val="none" w:sz="0" w:space="0" w:color="auto"/>
      </w:divBdr>
    </w:div>
    <w:div w:id="10692027">
      <w:bodyDiv w:val="1"/>
      <w:marLeft w:val="0"/>
      <w:marRight w:val="0"/>
      <w:marTop w:val="0"/>
      <w:marBottom w:val="0"/>
      <w:divBdr>
        <w:top w:val="none" w:sz="0" w:space="0" w:color="auto"/>
        <w:left w:val="none" w:sz="0" w:space="0" w:color="auto"/>
        <w:bottom w:val="none" w:sz="0" w:space="0" w:color="auto"/>
        <w:right w:val="none" w:sz="0" w:space="0" w:color="auto"/>
      </w:divBdr>
    </w:div>
    <w:div w:id="59138822">
      <w:bodyDiv w:val="1"/>
      <w:marLeft w:val="0"/>
      <w:marRight w:val="0"/>
      <w:marTop w:val="0"/>
      <w:marBottom w:val="0"/>
      <w:divBdr>
        <w:top w:val="none" w:sz="0" w:space="0" w:color="auto"/>
        <w:left w:val="none" w:sz="0" w:space="0" w:color="auto"/>
        <w:bottom w:val="none" w:sz="0" w:space="0" w:color="auto"/>
        <w:right w:val="none" w:sz="0" w:space="0" w:color="auto"/>
      </w:divBdr>
    </w:div>
    <w:div w:id="74321957">
      <w:bodyDiv w:val="1"/>
      <w:marLeft w:val="0"/>
      <w:marRight w:val="0"/>
      <w:marTop w:val="0"/>
      <w:marBottom w:val="0"/>
      <w:divBdr>
        <w:top w:val="none" w:sz="0" w:space="0" w:color="auto"/>
        <w:left w:val="none" w:sz="0" w:space="0" w:color="auto"/>
        <w:bottom w:val="none" w:sz="0" w:space="0" w:color="auto"/>
        <w:right w:val="none" w:sz="0" w:space="0" w:color="auto"/>
      </w:divBdr>
      <w:divsChild>
        <w:div w:id="909005909">
          <w:marLeft w:val="0"/>
          <w:marRight w:val="0"/>
          <w:marTop w:val="0"/>
          <w:marBottom w:val="0"/>
          <w:divBdr>
            <w:top w:val="none" w:sz="0" w:space="0" w:color="auto"/>
            <w:left w:val="none" w:sz="0" w:space="0" w:color="auto"/>
            <w:bottom w:val="none" w:sz="0" w:space="0" w:color="auto"/>
            <w:right w:val="none" w:sz="0" w:space="0" w:color="auto"/>
          </w:divBdr>
          <w:divsChild>
            <w:div w:id="469246950">
              <w:marLeft w:val="0"/>
              <w:marRight w:val="0"/>
              <w:marTop w:val="0"/>
              <w:marBottom w:val="0"/>
              <w:divBdr>
                <w:top w:val="none" w:sz="0" w:space="0" w:color="auto"/>
                <w:left w:val="none" w:sz="0" w:space="0" w:color="auto"/>
                <w:bottom w:val="none" w:sz="0" w:space="0" w:color="auto"/>
                <w:right w:val="none" w:sz="0" w:space="0" w:color="auto"/>
              </w:divBdr>
              <w:divsChild>
                <w:div w:id="1712219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0948055">
      <w:bodyDiv w:val="1"/>
      <w:marLeft w:val="0"/>
      <w:marRight w:val="0"/>
      <w:marTop w:val="0"/>
      <w:marBottom w:val="0"/>
      <w:divBdr>
        <w:top w:val="none" w:sz="0" w:space="0" w:color="auto"/>
        <w:left w:val="none" w:sz="0" w:space="0" w:color="auto"/>
        <w:bottom w:val="none" w:sz="0" w:space="0" w:color="auto"/>
        <w:right w:val="none" w:sz="0" w:space="0" w:color="auto"/>
      </w:divBdr>
    </w:div>
    <w:div w:id="588975488">
      <w:bodyDiv w:val="1"/>
      <w:marLeft w:val="0"/>
      <w:marRight w:val="0"/>
      <w:marTop w:val="0"/>
      <w:marBottom w:val="0"/>
      <w:divBdr>
        <w:top w:val="none" w:sz="0" w:space="0" w:color="auto"/>
        <w:left w:val="none" w:sz="0" w:space="0" w:color="auto"/>
        <w:bottom w:val="none" w:sz="0" w:space="0" w:color="auto"/>
        <w:right w:val="none" w:sz="0" w:space="0" w:color="auto"/>
      </w:divBdr>
    </w:div>
    <w:div w:id="787941371">
      <w:bodyDiv w:val="1"/>
      <w:marLeft w:val="0"/>
      <w:marRight w:val="0"/>
      <w:marTop w:val="0"/>
      <w:marBottom w:val="0"/>
      <w:divBdr>
        <w:top w:val="none" w:sz="0" w:space="0" w:color="auto"/>
        <w:left w:val="none" w:sz="0" w:space="0" w:color="auto"/>
        <w:bottom w:val="none" w:sz="0" w:space="0" w:color="auto"/>
        <w:right w:val="none" w:sz="0" w:space="0" w:color="auto"/>
      </w:divBdr>
      <w:divsChild>
        <w:div w:id="1456212960">
          <w:marLeft w:val="0"/>
          <w:marRight w:val="0"/>
          <w:marTop w:val="0"/>
          <w:marBottom w:val="0"/>
          <w:divBdr>
            <w:top w:val="none" w:sz="0" w:space="0" w:color="auto"/>
            <w:left w:val="none" w:sz="0" w:space="0" w:color="auto"/>
            <w:bottom w:val="none" w:sz="0" w:space="0" w:color="auto"/>
            <w:right w:val="none" w:sz="0" w:space="0" w:color="auto"/>
          </w:divBdr>
          <w:divsChild>
            <w:div w:id="320817670">
              <w:marLeft w:val="0"/>
              <w:marRight w:val="0"/>
              <w:marTop w:val="0"/>
              <w:marBottom w:val="0"/>
              <w:divBdr>
                <w:top w:val="none" w:sz="0" w:space="0" w:color="auto"/>
                <w:left w:val="none" w:sz="0" w:space="0" w:color="auto"/>
                <w:bottom w:val="none" w:sz="0" w:space="0" w:color="auto"/>
                <w:right w:val="none" w:sz="0" w:space="0" w:color="auto"/>
              </w:divBdr>
              <w:divsChild>
                <w:div w:id="172984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83930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134</TotalTime>
  <Pages>3</Pages>
  <Words>486</Words>
  <Characters>2774</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啓人</dc:creator>
  <cp:keywords/>
  <dc:description/>
  <cp:lastModifiedBy>杉澤　綾香</cp:lastModifiedBy>
  <cp:revision>39</cp:revision>
  <cp:lastPrinted>2025-10-02T07:55:00Z</cp:lastPrinted>
  <dcterms:created xsi:type="dcterms:W3CDTF">2025-07-25T01:20:00Z</dcterms:created>
  <dcterms:modified xsi:type="dcterms:W3CDTF">2025-10-02T07:55:00Z</dcterms:modified>
</cp:coreProperties>
</file>