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鑑定申立書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審査請求人（参加人）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下記のとおり鑑定を求めたいので、行政不服審査法第</w:t>
      </w:r>
      <w:r>
        <w:rPr>
          <w:rFonts w:hint="eastAsia"/>
        </w:rPr>
        <w:t>34</w:t>
      </w:r>
      <w:r>
        <w:rPr>
          <w:rFonts w:hint="eastAsia"/>
        </w:rPr>
        <w:t>条の規定により申し立てます。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審査請求人の住所、氏名等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鑑定を求める者の住所、氏名及び職業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鑑定を必要とする理由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140</Characters>
  <Application>JUST Note</Application>
  <Lines>25</Lines>
  <Paragraphs>15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2023-08-31T23:02:00Z</dcterms:created>
  <dcterms:modified xsi:type="dcterms:W3CDTF">2023-08-31T23:02:00Z</dcterms:modified>
  <cp:revision>0</cp:revision>
</cp:coreProperties>
</file>