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再審査請求人地位承継許可申請書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（再審査庁）秋田県知事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下記のとおり、処分に係る権利を譲り受けたので、行政不服審査法第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15</w:t>
      </w:r>
      <w:r>
        <w:rPr>
          <w:rFonts w:hint="eastAsia"/>
        </w:rPr>
        <w:t>条第６項の規定により、再審査請求人の地位の承継の許可を申請します。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ind w:firstLine="320" w:firstLineChars="20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再</w:t>
      </w:r>
      <w:bookmarkStart w:id="0" w:name="_GoBack"/>
      <w:bookmarkEnd w:id="0"/>
      <w:r>
        <w:rPr>
          <w:rFonts w:hint="eastAsia"/>
        </w:rPr>
        <w:t>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被承継人の住所及び氏名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地位承継の理由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192</Characters>
  <Application>JUST Note</Application>
  <Lines>32</Lines>
  <Paragraphs>18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2023-08-30T06:09:00Z</dcterms:created>
  <dcterms:modified xsi:type="dcterms:W3CDTF">2023-08-31T05:26:27Z</dcterms:modified>
  <cp:revision>2</cp:revision>
</cp:coreProperties>
</file>