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再審査請求人地位承継届出書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（再審査庁）　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承継人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主たる事務所の所在地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名称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代表者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電話番号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メールアドレス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下記のとおり、再審査請求人の地位を承継したので、行政不服審査法第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15</w:t>
      </w:r>
      <w:r>
        <w:rPr>
          <w:rFonts w:hint="eastAsia"/>
        </w:rPr>
        <w:t>条第３項の規定により届け出ます。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再</w:t>
      </w:r>
      <w:bookmarkStart w:id="0" w:name="_GoBack"/>
      <w:bookmarkEnd w:id="0"/>
      <w:r>
        <w:rPr>
          <w:rFonts w:hint="eastAsia"/>
        </w:rPr>
        <w:t>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spacing w:line="260" w:lineRule="exact"/>
        <w:ind w:right="840"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spacing w:line="260" w:lineRule="exact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188</Characters>
  <Application>JUST Note</Application>
  <Lines>31</Lines>
  <Paragraphs>20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2023-08-30T05:56:00Z</dcterms:created>
  <dcterms:modified xsi:type="dcterms:W3CDTF">2023-08-30T05:56:18Z</dcterms:modified>
  <cp:revision>1</cp:revision>
</cp:coreProperties>
</file>