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代理人解任届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（審査庁）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審理員　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審査請求人（参加人）　</w:t>
      </w: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私は、○○　○○を下記事項について、代理人に選任していましたが、都合により　年　月　日付けをもって解任しましたので、行政不服審査法施行令第３条第２項の規定により、届け出ます。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年　月　日をもって、（処分庁）が私に対して行った、○○に関する処分につき、審査庁　秋田県知事　</w:t>
      </w:r>
      <w:bookmarkStart w:id="0" w:name="_GoBack"/>
      <w:bookmarkEnd w:id="0"/>
      <w:r>
        <w:rPr>
          <w:rFonts w:hint="eastAsia"/>
        </w:rPr>
        <w:t>に対してする審査請求に関する一切の権限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173</Characters>
  <Application>JUST Note</Application>
  <Lines>16</Lines>
  <Paragraphs>8</Paragraphs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2023-08-30T05:44:00Z</dcterms:created>
  <dcterms:modified xsi:type="dcterms:W3CDTF">2023-08-30T05:44:00Z</dcterms:modified>
  <cp:revision>0</cp:revision>
</cp:coreProperties>
</file>