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総代解任届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（再審査庁）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3570"/>
        <w:jc w:val="right"/>
        <w:rPr>
          <w:rFonts w:hint="default"/>
        </w:rPr>
      </w:pPr>
      <w:r>
        <w:rPr>
          <w:rFonts w:hint="eastAsia"/>
        </w:rPr>
        <w:t>再審査請求人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/>
          <w:sz w:val="16"/>
        </w:rPr>
      </w:pPr>
      <w:r>
        <w:rPr>
          <w:rFonts w:hint="eastAsia"/>
          <w:sz w:val="16"/>
        </w:rPr>
        <w:t>　（以下、全員連記のこと）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以上　名　　　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　　私たちは、先に総代に選任して下記の事項を行わせた○○　○○を、都合により　年　月日付けをもって解任しましたので、行政不服審査法施行令第</w:t>
      </w:r>
      <w:r>
        <w:rPr>
          <w:rFonts w:hint="eastAsia"/>
        </w:rPr>
        <w:t>19</w:t>
      </w:r>
      <w:r>
        <w:rPr>
          <w:rFonts w:hint="eastAsia"/>
        </w:rPr>
        <w:t>条第１項において準用する同法</w:t>
      </w:r>
      <w:bookmarkStart w:id="0" w:name="_GoBack"/>
      <w:bookmarkEnd w:id="0"/>
      <w:r>
        <w:rPr>
          <w:rFonts w:hint="eastAsia"/>
        </w:rPr>
        <w:t>第３条第２項の規定により、届け出ます。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年　月　日をもって、（処分庁）が（処分の名宛人）に対して行った、○○に関する処分につき、再審査庁　秋田県知事　に対してする再審査請求に関する一切の事項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209</Characters>
  <Application>JUST Note</Application>
  <Lines>20</Lines>
  <Paragraphs>11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2023-08-30T05:36:00Z</dcterms:created>
  <dcterms:modified xsi:type="dcterms:W3CDTF">2023-09-01T01:12:31Z</dcterms:modified>
  <cp:revision>1</cp:revision>
</cp:coreProperties>
</file>