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総代解任届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（審査庁）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審理員　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ind w:right="3570"/>
        <w:jc w:val="right"/>
        <w:rPr>
          <w:rFonts w:hint="default"/>
        </w:rPr>
      </w:pPr>
      <w:r>
        <w:rPr>
          <w:rFonts w:hint="eastAsia"/>
        </w:rPr>
        <w:t>審査請求人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　　　　　　　　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right"/>
        <w:rPr>
          <w:rFonts w:hint="default"/>
          <w:sz w:val="16"/>
        </w:rPr>
      </w:pPr>
      <w:r>
        <w:rPr>
          <w:rFonts w:hint="eastAsia"/>
          <w:sz w:val="16"/>
        </w:rPr>
        <w:t>　（以下、全員連記のこと）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以上　名　　　</w:t>
      </w: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</w:t>
      </w:r>
      <w:bookmarkStart w:id="0" w:name="_GoBack"/>
      <w:bookmarkEnd w:id="0"/>
      <w:r>
        <w:rPr>
          <w:rFonts w:hint="eastAsia"/>
        </w:rPr>
        <w:t>私たちは、先に総代に選任して下記の事項を行わせた○○　○○を、都合により　年　月日付けをもって解任しましたので、行政不服審査法施行令第３条第２項の規定により、届け出ます。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年　月　日をもって、（処分庁）が（処分の名宛人）に対して行った、○○に関する処分につき、審査庁　秋田県知事　に対してする審査請求に関する一切の事項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188</Characters>
  <Application>JUST Note</Application>
  <Lines>20</Lines>
  <Paragraphs>11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2023-08-30T05:36:00Z</dcterms:created>
  <dcterms:modified xsi:type="dcterms:W3CDTF">2023-08-30T05:25:45Z</dcterms:modified>
  <cp:revision>1</cp:revision>
</cp:coreProperties>
</file>