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【様式２】</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rPr>
        <w:t>　（あて先）秋田県知事</w:t>
      </w:r>
    </w:p>
    <w:p>
      <w:pPr>
        <w:pStyle w:val="0"/>
        <w:ind w:firstLine="1260" w:firstLineChars="600"/>
        <w:rPr>
          <w:rFonts w:hint="eastAsia" w:ascii="ＭＳ ゴシック" w:hAnsi="ＭＳ ゴシック" w:eastAsia="ＭＳ ゴシック"/>
        </w:rPr>
      </w:pPr>
      <w:r>
        <w:rPr>
          <w:rFonts w:hint="eastAsia" w:ascii="ＭＳ ゴシック" w:hAnsi="ＭＳ ゴシック" w:eastAsia="ＭＳ ゴシック"/>
        </w:rPr>
        <w:t>佐　竹　敬　久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sz w:val="21"/>
        </w:rPr>
      </w:pPr>
    </w:p>
    <w:tbl>
      <w:tblPr>
        <w:tblStyle w:val="11"/>
        <w:tblW w:w="0" w:type="auto"/>
        <w:tblInd w:w="3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620"/>
        <w:gridCol w:w="3932"/>
      </w:tblGrid>
      <w:tr>
        <w:trPr/>
        <w:tc>
          <w:tcPr>
            <w:tcW w:w="162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住所：</w:t>
            </w:r>
          </w:p>
        </w:tc>
        <w:tc>
          <w:tcPr>
            <w:tcW w:w="393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p>
        </w:tc>
      </w:tr>
      <w:tr>
        <w:trPr/>
        <w:tc>
          <w:tcPr>
            <w:tcW w:w="162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商号又は名称：</w:t>
            </w:r>
          </w:p>
        </w:tc>
        <w:tc>
          <w:tcPr>
            <w:tcW w:w="393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p>
        </w:tc>
      </w:tr>
      <w:tr>
        <w:trPr/>
        <w:tc>
          <w:tcPr>
            <w:tcW w:w="1620"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代表者職氏名：</w:t>
            </w:r>
          </w:p>
        </w:tc>
        <w:tc>
          <w:tcPr>
            <w:tcW w:w="3932" w:type="dxa"/>
            <w:tcBorders>
              <w:top w:val="nil"/>
              <w:left w:val="nil"/>
              <w:bottom w:val="nil"/>
              <w:right w:val="nil"/>
              <w:tl2br w:val="nil"/>
              <w:tr2bl w:val="nil"/>
            </w:tcBorders>
            <w:shd w:val="clear" w:color="auto" w:fill="auto"/>
            <w:vAlign w:val="top"/>
          </w:tcPr>
          <w:p>
            <w:pPr>
              <w:pStyle w:val="0"/>
              <w:rPr>
                <w:rFonts w:hint="eastAsia" w:ascii="ＭＳ ゴシック" w:hAnsi="ＭＳ ゴシック" w:eastAsia="ＭＳ ゴシック"/>
                <w:sz w:val="21"/>
              </w:rPr>
            </w:pPr>
          </w:p>
        </w:tc>
      </w:tr>
    </w:tbl>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0"/>
        </w:rPr>
        <w:t>企画提案競技参加資格確認申請書</w:t>
      </w:r>
    </w:p>
    <w:p>
      <w:pPr>
        <w:pStyle w:val="0"/>
        <w:rPr>
          <w:rFonts w:hint="eastAsia" w:ascii="ＭＳ ゴシック" w:hAnsi="ＭＳ ゴシック" w:eastAsia="ＭＳ ゴシック"/>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秋田県冬の大型観光キャンペーンプロモーション業務委託に係る企画提案競技参加資格について関係書類を添えて次のとおり申請します。</w:t>
      </w:r>
    </w:p>
    <w:p>
      <w:pPr>
        <w:pStyle w:val="0"/>
        <w:rPr>
          <w:rFonts w:hint="eastAsia" w:ascii="ＭＳ ゴシック" w:hAnsi="ＭＳ ゴシック" w:eastAsia="ＭＳ ゴシック"/>
        </w:rPr>
      </w:pPr>
      <w:r>
        <w:rPr>
          <w:rFonts w:hint="eastAsia" w:ascii="ＭＳ ゴシック" w:hAnsi="ＭＳ ゴシック" w:eastAsia="ＭＳ ゴシック"/>
        </w:rPr>
        <w:t>　次の内容について、虚偽がないことを誓約します。</w:t>
      </w:r>
    </w:p>
    <w:p>
      <w:pPr>
        <w:pStyle w:val="0"/>
        <w:overflowPunct w:val="0"/>
        <w:adjustRightInd w:val="0"/>
        <w:textAlignment w:val="baseline"/>
        <w:rPr>
          <w:rFonts w:hint="eastAsia" w:ascii="ＭＳ ゴシック" w:hAnsi="ＭＳ ゴシック" w:eastAsia="ＭＳ ゴシック"/>
          <w:color w:val="000000"/>
          <w:spacing w:val="2"/>
          <w:kern w:val="0"/>
          <w:sz w:val="20"/>
        </w:rPr>
      </w:pPr>
    </w:p>
    <w:p>
      <w:pPr>
        <w:pStyle w:val="0"/>
        <w:overflowPunct w:val="0"/>
        <w:adjustRightInd w:val="0"/>
        <w:textAlignment w:val="baseline"/>
        <w:rPr>
          <w:rFonts w:hint="eastAsia" w:ascii="ＭＳ ゴシック" w:hAnsi="ＭＳ ゴシック" w:eastAsia="ＭＳ ゴシック"/>
          <w:color w:val="000000"/>
          <w:spacing w:val="2"/>
          <w:kern w:val="0"/>
          <w:sz w:val="20"/>
        </w:rPr>
      </w:pPr>
      <w:r>
        <w:rPr>
          <w:rFonts w:hint="eastAsia" w:ascii="ＭＳ ゴシック" w:hAnsi="ＭＳ ゴシック" w:eastAsia="ＭＳ ゴシック"/>
          <w:color w:val="000000"/>
          <w:spacing w:val="2"/>
          <w:kern w:val="0"/>
          <w:sz w:val="20"/>
        </w:rPr>
        <w:t>（１）</w:t>
      </w:r>
      <w:r>
        <w:rPr>
          <w:rFonts w:hint="eastAsia" w:ascii="ＭＳ ゴシック" w:hAnsi="ＭＳ ゴシック" w:eastAsia="ＭＳ ゴシック"/>
          <w:color w:val="000000"/>
          <w:spacing w:val="2"/>
          <w:kern w:val="0"/>
          <w:sz w:val="20"/>
        </w:rPr>
        <w:t xml:space="preserve"> </w:t>
      </w:r>
      <w:r>
        <w:rPr>
          <w:rFonts w:hint="eastAsia" w:ascii="ＭＳ ゴシック" w:hAnsi="ＭＳ ゴシック" w:eastAsia="ＭＳ ゴシック"/>
          <w:color w:val="000000"/>
          <w:spacing w:val="2"/>
          <w:kern w:val="0"/>
          <w:sz w:val="20"/>
        </w:rPr>
        <w:t>秋田県内に本社、支社又は営業所を有する者</w:t>
      </w:r>
    </w:p>
    <w:p>
      <w:pPr>
        <w:pStyle w:val="0"/>
        <w:overflowPunct w:val="0"/>
        <w:adjustRightInd w:val="0"/>
        <w:ind w:left="560" w:hanging="560" w:hangingChars="250"/>
        <w:textAlignment w:val="baseline"/>
        <w:rPr>
          <w:rFonts w:hint="eastAsia" w:ascii="ＭＳ ゴシック" w:hAnsi="ＭＳ ゴシック" w:eastAsia="ＭＳ ゴシック"/>
          <w:color w:val="000000"/>
          <w:spacing w:val="2"/>
          <w:kern w:val="0"/>
          <w:sz w:val="20"/>
        </w:rPr>
      </w:pPr>
      <w:r>
        <w:rPr>
          <w:rFonts w:hint="eastAsia" w:ascii="ＭＳ ゴシック" w:hAnsi="ＭＳ ゴシック" w:eastAsia="ＭＳ ゴシック"/>
          <w:color w:val="000000"/>
          <w:spacing w:val="2"/>
          <w:kern w:val="0"/>
          <w:sz w:val="20"/>
        </w:rPr>
        <w:t>（２）</w:t>
      </w:r>
      <w:r>
        <w:rPr>
          <w:rFonts w:hint="eastAsia" w:ascii="ＭＳ ゴシック" w:hAnsi="ＭＳ ゴシック" w:eastAsia="ＭＳ ゴシック"/>
          <w:color w:val="000000"/>
          <w:spacing w:val="2"/>
          <w:kern w:val="0"/>
          <w:sz w:val="20"/>
        </w:rPr>
        <w:t xml:space="preserve"> </w:t>
      </w:r>
      <w:r>
        <w:rPr>
          <w:rFonts w:hint="eastAsia" w:ascii="ＭＳ ゴシック" w:hAnsi="ＭＳ ゴシック" w:eastAsia="ＭＳ ゴシック"/>
          <w:color w:val="000000"/>
          <w:spacing w:val="2"/>
          <w:kern w:val="0"/>
          <w:sz w:val="20"/>
        </w:rPr>
        <w:t>地方自治法施行令（昭和</w:t>
      </w:r>
      <w:r>
        <w:rPr>
          <w:rFonts w:hint="eastAsia" w:ascii="ＭＳ ゴシック" w:hAnsi="ＭＳ ゴシック" w:eastAsia="ＭＳ ゴシック"/>
          <w:color w:val="000000"/>
          <w:spacing w:val="2"/>
          <w:kern w:val="0"/>
          <w:sz w:val="20"/>
        </w:rPr>
        <w:t>22</w:t>
      </w:r>
      <w:r>
        <w:rPr>
          <w:rFonts w:hint="eastAsia" w:ascii="ＭＳ ゴシック" w:hAnsi="ＭＳ ゴシック" w:eastAsia="ＭＳ ゴシック"/>
          <w:color w:val="000000"/>
          <w:spacing w:val="2"/>
          <w:kern w:val="0"/>
          <w:sz w:val="20"/>
        </w:rPr>
        <w:t>年政令第</w:t>
      </w:r>
      <w:r>
        <w:rPr>
          <w:rFonts w:hint="eastAsia" w:ascii="ＭＳ ゴシック" w:hAnsi="ＭＳ ゴシック" w:eastAsia="ＭＳ ゴシック"/>
          <w:color w:val="000000"/>
          <w:spacing w:val="2"/>
          <w:kern w:val="0"/>
          <w:sz w:val="20"/>
        </w:rPr>
        <w:t>16</w:t>
      </w:r>
      <w:r>
        <w:rPr>
          <w:rFonts w:hint="eastAsia" w:ascii="ＭＳ ゴシック" w:hAnsi="ＭＳ ゴシック" w:eastAsia="ＭＳ ゴシック"/>
          <w:color w:val="000000"/>
          <w:spacing w:val="2"/>
          <w:kern w:val="0"/>
          <w:sz w:val="20"/>
        </w:rPr>
        <w:t>号）第</w:t>
      </w:r>
      <w:r>
        <w:rPr>
          <w:rFonts w:hint="eastAsia" w:ascii="ＭＳ ゴシック" w:hAnsi="ＭＳ ゴシック" w:eastAsia="ＭＳ ゴシック"/>
          <w:color w:val="000000"/>
          <w:spacing w:val="2"/>
          <w:kern w:val="0"/>
          <w:sz w:val="20"/>
        </w:rPr>
        <w:t>167</w:t>
      </w:r>
      <w:r>
        <w:rPr>
          <w:rFonts w:hint="eastAsia" w:ascii="ＭＳ ゴシック" w:hAnsi="ＭＳ ゴシック" w:eastAsia="ＭＳ ゴシック"/>
          <w:color w:val="000000"/>
          <w:spacing w:val="2"/>
          <w:kern w:val="0"/>
          <w:sz w:val="20"/>
        </w:rPr>
        <w:t>条の４の規定に該当しない者</w:t>
      </w:r>
    </w:p>
    <w:p>
      <w:pPr>
        <w:pStyle w:val="0"/>
        <w:overflowPunct w:val="0"/>
        <w:adjustRightInd w:val="0"/>
        <w:ind w:left="560" w:hanging="560" w:hangingChars="250"/>
        <w:textAlignment w:val="baseline"/>
        <w:rPr>
          <w:rFonts w:hint="eastAsia" w:ascii="ＭＳ ゴシック" w:hAnsi="ＭＳ ゴシック" w:eastAsia="ＭＳ ゴシック"/>
          <w:color w:val="000000"/>
          <w:spacing w:val="2"/>
          <w:kern w:val="0"/>
          <w:sz w:val="20"/>
        </w:rPr>
      </w:pPr>
      <w:r>
        <w:rPr>
          <w:rFonts w:hint="eastAsia" w:ascii="ＭＳ ゴシック" w:hAnsi="ＭＳ ゴシック" w:eastAsia="ＭＳ ゴシック"/>
          <w:color w:val="000000"/>
          <w:spacing w:val="2"/>
          <w:kern w:val="0"/>
          <w:sz w:val="20"/>
        </w:rPr>
        <w:t>（３）</w:t>
      </w:r>
      <w:r>
        <w:rPr>
          <w:rFonts w:hint="eastAsia" w:ascii="ＭＳ ゴシック" w:hAnsi="ＭＳ ゴシック" w:eastAsia="ＭＳ ゴシック"/>
          <w:color w:val="000000"/>
          <w:spacing w:val="2"/>
          <w:kern w:val="0"/>
          <w:sz w:val="20"/>
        </w:rPr>
        <w:t xml:space="preserve"> </w:t>
      </w:r>
      <w:r>
        <w:rPr>
          <w:rFonts w:hint="eastAsia" w:ascii="ＭＳ ゴシック" w:hAnsi="ＭＳ ゴシック" w:eastAsia="ＭＳ ゴシック"/>
          <w:color w:val="000000"/>
          <w:spacing w:val="2"/>
          <w:kern w:val="0"/>
          <w:sz w:val="20"/>
        </w:rPr>
        <w:t>民事再生法（平成</w:t>
      </w:r>
      <w:r>
        <w:rPr>
          <w:rFonts w:hint="eastAsia" w:ascii="ＭＳ ゴシック" w:hAnsi="ＭＳ ゴシック" w:eastAsia="ＭＳ ゴシック"/>
          <w:color w:val="000000"/>
          <w:spacing w:val="2"/>
          <w:kern w:val="0"/>
          <w:sz w:val="20"/>
        </w:rPr>
        <w:t>11</w:t>
      </w:r>
      <w:r>
        <w:rPr>
          <w:rFonts w:hint="eastAsia" w:ascii="ＭＳ ゴシック" w:hAnsi="ＭＳ ゴシック" w:eastAsia="ＭＳ ゴシック"/>
          <w:color w:val="000000"/>
          <w:spacing w:val="2"/>
          <w:kern w:val="0"/>
          <w:sz w:val="20"/>
        </w:rPr>
        <w:t>年法律第</w:t>
      </w:r>
      <w:r>
        <w:rPr>
          <w:rFonts w:hint="eastAsia" w:ascii="ＭＳ ゴシック" w:hAnsi="ＭＳ ゴシック" w:eastAsia="ＭＳ ゴシック"/>
          <w:color w:val="000000"/>
          <w:spacing w:val="2"/>
          <w:kern w:val="0"/>
          <w:sz w:val="20"/>
        </w:rPr>
        <w:t>225</w:t>
      </w:r>
      <w:r>
        <w:rPr>
          <w:rFonts w:hint="eastAsia" w:ascii="ＭＳ ゴシック" w:hAnsi="ＭＳ ゴシック" w:eastAsia="ＭＳ ゴシック"/>
          <w:color w:val="000000"/>
          <w:spacing w:val="2"/>
          <w:kern w:val="0"/>
          <w:sz w:val="20"/>
        </w:rPr>
        <w:t>号）に基づき再生手続開始の申立てをしている者若しくは再生手続開始の申立がされている者（同法第</w:t>
      </w:r>
      <w:r>
        <w:rPr>
          <w:rFonts w:hint="eastAsia" w:ascii="ＭＳ ゴシック" w:hAnsi="ＭＳ ゴシック" w:eastAsia="ＭＳ ゴシック"/>
          <w:color w:val="000000"/>
          <w:spacing w:val="2"/>
          <w:kern w:val="0"/>
          <w:sz w:val="20"/>
        </w:rPr>
        <w:t>33</w:t>
      </w:r>
      <w:r>
        <w:rPr>
          <w:rFonts w:hint="eastAsia" w:ascii="ＭＳ ゴシック" w:hAnsi="ＭＳ ゴシック" w:eastAsia="ＭＳ ゴシック"/>
          <w:color w:val="000000"/>
          <w:spacing w:val="2"/>
          <w:kern w:val="0"/>
          <w:sz w:val="20"/>
        </w:rPr>
        <w:t>条第１項に規定する再生手続開始の決定を受けた者を除く。）又は会社更生法（平成</w:t>
      </w:r>
      <w:r>
        <w:rPr>
          <w:rFonts w:hint="eastAsia" w:ascii="ＭＳ ゴシック" w:hAnsi="ＭＳ ゴシック" w:eastAsia="ＭＳ ゴシック"/>
          <w:color w:val="000000"/>
          <w:spacing w:val="2"/>
          <w:kern w:val="0"/>
          <w:sz w:val="20"/>
        </w:rPr>
        <w:t>14</w:t>
      </w:r>
      <w:r>
        <w:rPr>
          <w:rFonts w:hint="eastAsia" w:ascii="ＭＳ ゴシック" w:hAnsi="ＭＳ ゴシック" w:eastAsia="ＭＳ ゴシック"/>
          <w:color w:val="000000"/>
          <w:spacing w:val="2"/>
          <w:kern w:val="0"/>
          <w:sz w:val="20"/>
        </w:rPr>
        <w:t>年法律第</w:t>
      </w:r>
      <w:r>
        <w:rPr>
          <w:rFonts w:hint="eastAsia" w:ascii="ＭＳ ゴシック" w:hAnsi="ＭＳ ゴシック" w:eastAsia="ＭＳ ゴシック"/>
          <w:color w:val="000000"/>
          <w:spacing w:val="2"/>
          <w:kern w:val="0"/>
          <w:sz w:val="20"/>
        </w:rPr>
        <w:t>154</w:t>
      </w:r>
      <w:r>
        <w:rPr>
          <w:rFonts w:hint="eastAsia" w:ascii="ＭＳ ゴシック" w:hAnsi="ＭＳ ゴシック" w:eastAsia="ＭＳ ゴシック"/>
          <w:color w:val="000000"/>
          <w:spacing w:val="2"/>
          <w:kern w:val="0"/>
          <w:sz w:val="20"/>
        </w:rPr>
        <w:t>号）に基づき更生手続き開始の申立てをしている者若しくは更生手続き開始の申立てがされている者（同法第</w:t>
      </w:r>
      <w:r>
        <w:rPr>
          <w:rFonts w:hint="eastAsia" w:ascii="ＭＳ ゴシック" w:hAnsi="ＭＳ ゴシック" w:eastAsia="ＭＳ ゴシック"/>
          <w:color w:val="000000"/>
          <w:spacing w:val="2"/>
          <w:kern w:val="0"/>
          <w:sz w:val="20"/>
        </w:rPr>
        <w:t>41</w:t>
      </w:r>
      <w:r>
        <w:rPr>
          <w:rFonts w:hint="eastAsia" w:ascii="ＭＳ ゴシック" w:hAnsi="ＭＳ ゴシック" w:eastAsia="ＭＳ ゴシック"/>
          <w:color w:val="000000"/>
          <w:spacing w:val="2"/>
          <w:kern w:val="0"/>
          <w:sz w:val="20"/>
        </w:rPr>
        <w:t>条第１項に規定する更生手続き開始の決定を受けた者を除く。）に該当しない者</w:t>
      </w:r>
    </w:p>
    <w:p>
      <w:pPr>
        <w:pStyle w:val="0"/>
        <w:overflowPunct w:val="0"/>
        <w:adjustRightInd w:val="0"/>
        <w:ind w:left="560" w:hanging="560" w:hangingChars="250"/>
        <w:textAlignment w:val="baseline"/>
        <w:rPr>
          <w:rFonts w:hint="eastAsia" w:ascii="ＭＳ ゴシック" w:hAnsi="ＭＳ ゴシック" w:eastAsia="ＭＳ ゴシック"/>
          <w:color w:val="000000"/>
          <w:spacing w:val="2"/>
          <w:kern w:val="0"/>
          <w:sz w:val="20"/>
        </w:rPr>
      </w:pPr>
      <w:r>
        <w:rPr>
          <w:rFonts w:hint="eastAsia" w:ascii="ＭＳ ゴシック" w:hAnsi="ＭＳ ゴシック" w:eastAsia="ＭＳ ゴシック"/>
          <w:color w:val="000000"/>
          <w:spacing w:val="2"/>
          <w:kern w:val="0"/>
          <w:sz w:val="20"/>
        </w:rPr>
        <w:t>（４）</w:t>
      </w:r>
      <w:r>
        <w:rPr>
          <w:rFonts w:hint="eastAsia" w:ascii="ＭＳ ゴシック" w:hAnsi="ＭＳ ゴシック" w:eastAsia="ＭＳ ゴシック"/>
          <w:color w:val="000000"/>
          <w:spacing w:val="2"/>
          <w:kern w:val="0"/>
          <w:sz w:val="20"/>
        </w:rPr>
        <w:t xml:space="preserve"> </w:t>
      </w:r>
      <w:r>
        <w:rPr>
          <w:rFonts w:hint="eastAsia" w:ascii="ＭＳ ゴシック" w:hAnsi="ＭＳ ゴシック" w:eastAsia="ＭＳ ゴシック"/>
          <w:color w:val="000000"/>
          <w:spacing w:val="2"/>
          <w:kern w:val="0"/>
          <w:sz w:val="20"/>
        </w:rPr>
        <w:t>企画提案競技参加資格確認申請書の提出日において、県からの受注業務に関し、指名停止の措置を受けていない者</w:t>
      </w:r>
    </w:p>
    <w:p>
      <w:pPr>
        <w:pStyle w:val="0"/>
        <w:overflowPunct w:val="0"/>
        <w:adjustRightInd w:val="0"/>
        <w:ind w:left="560" w:hanging="560" w:hangingChars="250"/>
        <w:textAlignment w:val="baseline"/>
        <w:rPr>
          <w:rFonts w:hint="eastAsia" w:ascii="ＭＳ ゴシック" w:hAnsi="ＭＳ ゴシック" w:eastAsia="ＭＳ ゴシック"/>
          <w:color w:val="000000"/>
          <w:spacing w:val="2"/>
          <w:kern w:val="0"/>
          <w:sz w:val="20"/>
        </w:rPr>
      </w:pPr>
      <w:r>
        <w:rPr>
          <w:rFonts w:hint="eastAsia" w:ascii="ＭＳ ゴシック" w:hAnsi="ＭＳ ゴシック" w:eastAsia="ＭＳ ゴシック"/>
          <w:color w:val="000000"/>
          <w:spacing w:val="2"/>
          <w:kern w:val="0"/>
          <w:sz w:val="20"/>
        </w:rPr>
        <w:t>（５）</w:t>
      </w:r>
      <w:r>
        <w:rPr>
          <w:rFonts w:hint="eastAsia" w:ascii="ＭＳ ゴシック" w:hAnsi="ＭＳ ゴシック" w:eastAsia="ＭＳ ゴシック"/>
          <w:color w:val="000000"/>
          <w:spacing w:val="2"/>
          <w:kern w:val="0"/>
          <w:sz w:val="20"/>
        </w:rPr>
        <w:t xml:space="preserve"> </w:t>
      </w:r>
      <w:r>
        <w:rPr>
          <w:rFonts w:hint="eastAsia" w:ascii="ＭＳ ゴシック" w:hAnsi="ＭＳ ゴシック" w:eastAsia="ＭＳ ゴシック"/>
          <w:color w:val="000000"/>
          <w:spacing w:val="2"/>
          <w:kern w:val="0"/>
          <w:sz w:val="20"/>
        </w:rPr>
        <w:t>宗教活動又は政治活動を主たる目的とする団体、秋田県暴力団排除条例（平成</w:t>
      </w:r>
      <w:r>
        <w:rPr>
          <w:rFonts w:hint="eastAsia" w:ascii="ＭＳ ゴシック" w:hAnsi="ＭＳ ゴシック" w:eastAsia="ＭＳ ゴシック"/>
          <w:color w:val="000000"/>
          <w:spacing w:val="2"/>
          <w:kern w:val="0"/>
          <w:sz w:val="20"/>
        </w:rPr>
        <w:t>23</w:t>
      </w:r>
      <w:r>
        <w:rPr>
          <w:rFonts w:hint="eastAsia" w:ascii="ＭＳ ゴシック" w:hAnsi="ＭＳ ゴシック" w:eastAsia="ＭＳ ゴシック"/>
          <w:color w:val="000000"/>
          <w:spacing w:val="2"/>
          <w:kern w:val="0"/>
          <w:sz w:val="20"/>
        </w:rPr>
        <w:t>年秋田県条例第</w:t>
      </w:r>
      <w:r>
        <w:rPr>
          <w:rFonts w:hint="eastAsia" w:ascii="ＭＳ ゴシック" w:hAnsi="ＭＳ ゴシック" w:eastAsia="ＭＳ ゴシック"/>
          <w:color w:val="000000"/>
          <w:spacing w:val="2"/>
          <w:kern w:val="0"/>
          <w:sz w:val="20"/>
        </w:rPr>
        <w:t>29</w:t>
      </w:r>
      <w:r>
        <w:rPr>
          <w:rFonts w:hint="eastAsia" w:ascii="ＭＳ ゴシック" w:hAnsi="ＭＳ ゴシック" w:eastAsia="ＭＳ ゴシック"/>
          <w:color w:val="000000"/>
          <w:spacing w:val="2"/>
          <w:kern w:val="0"/>
          <w:sz w:val="20"/>
        </w:rPr>
        <w:t>号）第２条に規定する暴力団員又は暴力団と密接な関係を有する者に該当しない者</w:t>
      </w:r>
    </w:p>
    <w:p>
      <w:pPr>
        <w:pStyle w:val="0"/>
        <w:overflowPunct w:val="0"/>
        <w:adjustRightInd w:val="0"/>
        <w:ind w:left="448" w:hanging="448" w:hangingChars="200"/>
        <w:textAlignment w:val="baseline"/>
        <w:rPr>
          <w:rFonts w:hint="eastAsia" w:ascii="ＭＳ 明朝" w:hAnsi="ＭＳ 明朝"/>
          <w:color w:val="000000"/>
          <w:spacing w:val="2"/>
          <w:kern w:val="0"/>
          <w:sz w:val="20"/>
        </w:rPr>
      </w:pPr>
      <w:r>
        <w:rPr>
          <w:rFonts w:hint="eastAsia" w:ascii="ＭＳ ゴシック" w:hAnsi="ＭＳ ゴシック" w:eastAsia="ＭＳ ゴシック"/>
          <w:color w:val="000000"/>
          <w:spacing w:val="2"/>
          <w:kern w:val="0"/>
          <w:sz w:val="20"/>
        </w:rPr>
        <w:t>（６）共同企業体（以下「ＪＶ」という。）での参加の場合、代表者は（１）～（５）の全てを満たす者とし、構成員については（２）～（５）の条件を満たす者で構成されること。なお、ＪＶの構成員である者は、単独で本企画提案競技への参加はできません。</w:t>
      </w:r>
    </w:p>
    <w:p>
      <w:pPr>
        <w:pStyle w:val="0"/>
        <w:overflowPunct w:val="0"/>
        <w:adjustRightInd w:val="0"/>
        <w:ind w:left="448" w:hanging="448" w:hangingChars="200"/>
        <w:textAlignment w:val="baseline"/>
        <w:rPr>
          <w:rFonts w:hint="eastAsia" w:ascii="ＭＳ 明朝" w:hAnsi="ＭＳ 明朝"/>
          <w:color w:val="000000"/>
          <w:spacing w:val="2"/>
          <w:kern w:val="0"/>
          <w:sz w:val="22"/>
        </w:rPr>
      </w:pPr>
    </w:p>
    <w:p>
      <w:pPr>
        <w:pStyle w:val="0"/>
        <w:spacing w:line="360" w:lineRule="exact"/>
        <w:ind w:left="440" w:hanging="420" w:hangingChars="200"/>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　＜本件にかかる連絡先＞</w:t>
      </w:r>
    </w:p>
    <w:tbl>
      <w:tblPr>
        <w:tblStyle w:val="11"/>
        <w:tblW w:w="828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6300"/>
      </w:tblGrid>
      <w:t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所属</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ascii="ＭＳ ゴシック" w:hAnsi="ＭＳ ゴシック" w:eastAsia="ＭＳ ゴシック"/>
                <w:sz w:val="28"/>
              </w:rPr>
            </w:pPr>
          </w:p>
        </w:tc>
      </w:tr>
      <w:t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担当者職氏名</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ascii="ＭＳ ゴシック" w:hAnsi="ＭＳ ゴシック" w:eastAsia="ＭＳ ゴシック"/>
                <w:sz w:val="28"/>
              </w:rPr>
            </w:pPr>
          </w:p>
        </w:tc>
      </w:tr>
      <w:t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住所</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ascii="ＭＳ ゴシック" w:hAnsi="ＭＳ ゴシック" w:eastAsia="ＭＳ ゴシック"/>
                <w:sz w:val="28"/>
              </w:rPr>
            </w:pPr>
          </w:p>
        </w:tc>
      </w:tr>
      <w:t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電話</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ascii="ＭＳ ゴシック" w:hAnsi="ＭＳ ゴシック" w:eastAsia="ＭＳ ゴシック"/>
                <w:sz w:val="28"/>
              </w:rPr>
            </w:pPr>
          </w:p>
        </w:tc>
      </w:tr>
      <w:t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メールアドレス</w:t>
            </w:r>
          </w:p>
        </w:tc>
        <w:tc>
          <w:tcPr>
            <w:tcW w:w="63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ascii="ＭＳ ゴシック" w:hAnsi="ＭＳ ゴシック" w:eastAsia="ＭＳ ゴシック"/>
                <w:sz w:val="28"/>
              </w:rPr>
            </w:pPr>
          </w:p>
        </w:tc>
      </w:tr>
    </w:tbl>
    <w:p>
      <w:pPr>
        <w:pStyle w:val="0"/>
        <w:overflowPunct w:val="0"/>
        <w:adjustRightInd w:val="0"/>
        <w:ind w:left="448" w:hanging="448" w:hangingChars="200"/>
        <w:textAlignment w:val="baseline"/>
        <w:rPr>
          <w:rFonts w:hint="eastAsia" w:ascii="ＭＳ 明朝" w:hAnsi="ＭＳ 明朝"/>
          <w:color w:val="000000"/>
          <w:spacing w:val="2"/>
          <w:kern w:val="0"/>
          <w:sz w:val="22"/>
        </w:rPr>
      </w:pPr>
    </w:p>
    <w:sectPr>
      <w:pgSz w:w="11906" w:h="16838"/>
      <w:pgMar w:top="1701"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11</Words>
  <Characters>695</Characters>
  <Application>JUST Note</Application>
  <Lines>47</Lines>
  <Paragraphs>22</Paragraphs>
  <Company>秋田県</Company>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【様式１－２】</dc:title>
  <dc:creator>windows xp</dc:creator>
  <cp:lastModifiedBy>長崎　弥生</cp:lastModifiedBy>
  <cp:lastPrinted>2024-04-05T04:10:07Z</cp:lastPrinted>
  <dcterms:created xsi:type="dcterms:W3CDTF">2017-06-23T07:06:00Z</dcterms:created>
  <dcterms:modified xsi:type="dcterms:W3CDTF">2024-04-15T09:45:13Z</dcterms:modified>
  <cp:revision>21</cp:revision>
</cp:coreProperties>
</file>