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auto"/>
          <w:sz w:val="36"/>
        </w:rPr>
      </w:pPr>
      <w:r>
        <w:rPr>
          <w:rFonts w:hint="eastAsia" w:ascii="ＭＳ ゴシック" w:hAnsi="ＭＳ ゴシック" w:eastAsia="ＭＳ ゴシック"/>
          <w:color w:val="auto"/>
          <w:sz w:val="44"/>
        </w:rPr>
        <mc:AlternateContent>
          <mc:Choice Requires="wps">
            <w:drawing>
              <wp:anchor distT="0" distB="0" distL="114300" distR="114300" simplePos="0" relativeHeight="2" behindDoc="0" locked="0" layoutInCell="1" hidden="0" allowOverlap="1">
                <wp:simplePos x="0" y="0"/>
                <wp:positionH relativeFrom="column">
                  <wp:posOffset>5808345</wp:posOffset>
                </wp:positionH>
                <wp:positionV relativeFrom="paragraph">
                  <wp:posOffset>-106680</wp:posOffset>
                </wp:positionV>
                <wp:extent cx="693420" cy="297180"/>
                <wp:effectExtent l="635" t="635" r="29845" b="10795"/>
                <wp:wrapNone/>
                <wp:docPr id="1026" name="正方形/長方形 3"/>
                <a:graphic xmlns:a="http://schemas.openxmlformats.org/drawingml/2006/main">
                  <a:graphicData uri="http://schemas.microsoft.com/office/word/2010/wordprocessingShape">
                    <wps:wsp>
                      <wps:cNvPr id="1026" name="正方形/長方形 3"/>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0"/>
                              <w:jc w:val="center"/>
                              <w:rPr>
                                <w:rFonts w:hint="default"/>
                              </w:rPr>
                            </w:pPr>
                            <w:r>
                              <w:rPr>
                                <w:rFonts w:hint="eastAsia"/>
                              </w:rPr>
                              <w:t>別紙２</w:t>
                            </w:r>
                          </w:p>
                        </w:txbxContent>
                      </wps:txbx>
                      <wps:bodyPr rot="0" vertOverflow="overflow" horzOverflow="overflow" wrap="square" numCol="1" spcCol="0" rtlCol="0" fromWordArt="0" anchor="ctr" anchorCtr="0" forceAA="0" compatLnSpc="1"/>
                    </wps:wsp>
                  </a:graphicData>
                </a:graphic>
              </wp:anchor>
            </w:drawing>
          </mc:Choice>
          <mc:Fallback>
            <w:pict>
              <v:rect id="正方形/長方形 3" style="mso-wrap-distance-right:9pt;mso-wrap-distance-bottom:0pt;margin-top:-8.4pt;mso-position-vertical-relative:text;mso-position-horizontal-relative:text;v-text-anchor:middle;position:absolute;height:23.4pt;mso-wrap-distance-top:0pt;width:54.6pt;mso-wrap-distance-left:9pt;margin-left:457.35pt;z-index:2;" o:spid="_x0000_s1026" o:allowincell="t" o:allowoverlap="t" filled="t" fillcolor="#ffffff" stroked="t" strokecolor="#000000" strokeweight="1pt" o:spt="1">
                <v:fill/>
                <v:stroke linestyle="single" miterlimit="8" endcap="flat" dashstyle="solid" filltype="solid"/>
                <v:textbox style="layout-flow:horizontal;">
                  <w:txbxContent>
                    <w:p>
                      <w:pPr>
                        <w:pStyle w:val="0"/>
                        <w:jc w:val="center"/>
                        <w:rPr>
                          <w:rFonts w:hint="default"/>
                        </w:rPr>
                      </w:pPr>
                      <w:r>
                        <w:rPr>
                          <w:rFonts w:hint="eastAsia"/>
                        </w:rPr>
                        <w:t>別紙２</w:t>
                      </w:r>
                    </w:p>
                  </w:txbxContent>
                </v:textbox>
                <v:imagedata o:title=""/>
                <w10:wrap type="none" anchorx="text" anchory="text"/>
              </v:rect>
            </w:pict>
          </mc:Fallback>
        </mc:AlternateContent>
      </w:r>
      <w:r>
        <w:rPr>
          <w:rFonts w:hint="eastAsia" w:ascii="ＭＳ ゴシック" w:hAnsi="ＭＳ ゴシック" w:eastAsia="ＭＳ ゴシック"/>
          <w:color w:val="auto"/>
          <w:sz w:val="44"/>
        </w:rPr>
        <w:t>感染防止安全計画書（秋田県）</w:t>
      </w:r>
    </w:p>
    <w:p>
      <w:pPr>
        <w:pStyle w:val="0"/>
        <w:jc w:val="left"/>
        <w:rPr>
          <w:rFonts w:hint="default" w:ascii="ＭＳ ゴシック" w:hAnsi="ＭＳ ゴシック" w:eastAsia="ＭＳ ゴシック"/>
          <w:color w:val="auto"/>
          <w:sz w:val="28"/>
          <w:bdr w:val="single" w:color="auto" w:sz="4" w:space="0"/>
        </w:rPr>
      </w:pPr>
      <w:r>
        <w:rPr>
          <w:rFonts w:hint="eastAsia" w:ascii="ＭＳ ゴシック" w:hAnsi="ＭＳ ゴシック" w:eastAsia="ＭＳ ゴシック"/>
          <w:color w:val="auto"/>
          <w:sz w:val="28"/>
          <w:bdr w:val="single" w:color="auto" w:sz="4" w:space="0"/>
        </w:rPr>
        <w:t>１</w:t>
      </w:r>
      <w:r>
        <w:rPr>
          <w:rFonts w:hint="eastAsia" w:ascii="ＭＳ ゴシック" w:hAnsi="ＭＳ ゴシック" w:eastAsia="ＭＳ ゴシック"/>
          <w:color w:val="auto"/>
          <w:sz w:val="28"/>
          <w:bdr w:val="single" w:color="auto" w:sz="4" w:space="0"/>
        </w:rPr>
        <w:t>.</w:t>
      </w:r>
      <w:r>
        <w:rPr>
          <w:rFonts w:hint="eastAsia" w:ascii="ＭＳ ゴシック" w:hAnsi="ＭＳ ゴシック" w:eastAsia="ＭＳ ゴシック"/>
          <w:color w:val="auto"/>
          <w:sz w:val="28"/>
          <w:bdr w:val="single" w:color="auto" w:sz="4" w:space="0"/>
        </w:rPr>
        <w:t>開催概要　</w:t>
      </w:r>
      <w:r>
        <w:rPr>
          <w:rFonts w:hint="eastAsia" w:ascii="ＭＳ ゴシック" w:hAnsi="ＭＳ ゴシック" w:eastAsia="ＭＳ ゴシック"/>
          <w:color w:val="auto"/>
          <w:sz w:val="28"/>
        </w:rPr>
        <w:t>　</w:t>
      </w:r>
    </w:p>
    <w:tbl>
      <w:tblPr>
        <w:tblStyle w:val="26"/>
        <w:tblpPr w:leftFromText="142" w:rightFromText="142" w:topFromText="0" w:bottomFromText="0" w:vertAnchor="text" w:horzAnchor="text" w:tblpXSpec="left" w:tblpY="1"/>
        <w:tblOverlap w:val="never"/>
        <w:tblW w:w="9463" w:type="dxa"/>
        <w:tblLayout w:type="fixed"/>
        <w:tblLook w:firstRow="1" w:lastRow="0" w:firstColumn="1" w:lastColumn="0" w:noHBand="0" w:noVBand="1" w:val="04A0"/>
      </w:tblPr>
      <w:tblGrid>
        <w:gridCol w:w="237"/>
        <w:gridCol w:w="1264"/>
        <w:gridCol w:w="489"/>
        <w:gridCol w:w="2835"/>
        <w:gridCol w:w="525"/>
        <w:gridCol w:w="4113"/>
      </w:tblGrid>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イベント名</w:t>
            </w:r>
          </w:p>
        </w:tc>
        <w:tc>
          <w:tcPr>
            <w:tcW w:w="7962" w:type="dxa"/>
            <w:gridSpan w:val="4"/>
            <w:vAlign w:val="center"/>
          </w:tcPr>
          <w:p>
            <w:pPr>
              <w:pStyle w:val="0"/>
              <w:jc w:val="left"/>
              <w:rPr>
                <w:rFonts w:hint="default" w:ascii="ＭＳ ゴシック" w:hAnsi="ＭＳ ゴシック" w:eastAsia="ＭＳ ゴシック"/>
                <w:color w:val="auto"/>
                <w:sz w:val="24"/>
              </w:rPr>
            </w:pP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出演者・</w:t>
            </w:r>
          </w:p>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チーム等</w:t>
            </w:r>
          </w:p>
        </w:tc>
        <w:tc>
          <w:tcPr>
            <w:tcW w:w="7962" w:type="dxa"/>
            <w:gridSpan w:val="4"/>
            <w:vAlign w:val="center"/>
          </w:tcPr>
          <w:p>
            <w:pPr>
              <w:pStyle w:val="0"/>
              <w:rPr>
                <w:rFonts w:hint="default" w:ascii="ＭＳ ゴシック" w:hAnsi="ＭＳ ゴシック" w:eastAsia="ＭＳ ゴシック"/>
                <w:color w:val="auto"/>
                <w:sz w:val="24"/>
              </w:rPr>
            </w:pP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※多数のため収まらない場合　→　一覧を添付</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開催日時</w:t>
            </w:r>
          </w:p>
        </w:tc>
        <w:tc>
          <w:tcPr>
            <w:tcW w:w="7962" w:type="dxa"/>
            <w:gridSpan w:val="4"/>
            <w:vAlign w:val="center"/>
          </w:tcPr>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令和　　年　　月　　日　　（　　時　　分　～　　　時　　分）</w:t>
            </w:r>
          </w:p>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※複数回開催の場合　→　開催する日時の一覧を添付</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開催会場</w:t>
            </w:r>
          </w:p>
        </w:tc>
        <w:tc>
          <w:tcPr>
            <w:tcW w:w="7962" w:type="dxa"/>
            <w:gridSpan w:val="4"/>
            <w:vAlign w:val="center"/>
          </w:tcPr>
          <w:p>
            <w:pPr>
              <w:pStyle w:val="0"/>
              <w:jc w:val="left"/>
              <w:rPr>
                <w:rFonts w:hint="default" w:ascii="ＭＳ ゴシック" w:hAnsi="ＭＳ ゴシック" w:eastAsia="ＭＳ ゴシック"/>
                <w:color w:val="auto"/>
                <w:sz w:val="24"/>
              </w:rPr>
            </w:pPr>
          </w:p>
        </w:tc>
      </w:tr>
      <w:tr>
        <w:trPr>
          <w:trHeight w:val="40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会場所在地</w:t>
            </w:r>
          </w:p>
        </w:tc>
        <w:tc>
          <w:tcPr>
            <w:tcW w:w="7962" w:type="dxa"/>
            <w:gridSpan w:val="4"/>
            <w:vAlign w:val="center"/>
          </w:tcPr>
          <w:p>
            <w:pPr>
              <w:pStyle w:val="0"/>
              <w:rPr>
                <w:rFonts w:hint="default" w:ascii="ＭＳ ゴシック" w:hAnsi="ＭＳ ゴシック" w:eastAsia="ＭＳ ゴシック"/>
                <w:color w:val="auto"/>
                <w:sz w:val="24"/>
              </w:rPr>
            </w:pPr>
          </w:p>
        </w:tc>
      </w:tr>
      <w:tr>
        <w:trPr>
          <w:trHeight w:val="430" w:hRule="atLeast"/>
        </w:trPr>
        <w:tc>
          <w:tcPr>
            <w:tcW w:w="1501"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kern w:val="24"/>
                <w:sz w:val="24"/>
              </w:rPr>
              <w:t>主催者</w:t>
            </w:r>
          </w:p>
        </w:tc>
        <w:tc>
          <w:tcPr>
            <w:tcW w:w="7962" w:type="dxa"/>
            <w:gridSpan w:val="4"/>
            <w:vAlign w:val="center"/>
          </w:tcPr>
          <w:p>
            <w:pPr>
              <w:pStyle w:val="0"/>
              <w:rPr>
                <w:rFonts w:hint="default" w:ascii="ＭＳ ゴシック" w:hAnsi="ＭＳ ゴシック" w:eastAsia="ＭＳ ゴシック"/>
                <w:color w:val="auto"/>
                <w:sz w:val="24"/>
              </w:rPr>
            </w:pPr>
          </w:p>
        </w:tc>
      </w:tr>
      <w:tr>
        <w:trPr>
          <w:trHeight w:val="350" w:hRule="atLeast"/>
        </w:trPr>
        <w:tc>
          <w:tcPr>
            <w:tcW w:w="237" w:type="dxa"/>
            <w:vMerge w:val="restart"/>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color w:val="auto"/>
                <w:sz w:val="28"/>
              </w:rPr>
            </w:pPr>
          </w:p>
        </w:tc>
        <w:tc>
          <w:tcPr>
            <w:tcW w:w="1264" w:type="dxa"/>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kern w:val="24"/>
                <w:sz w:val="24"/>
              </w:rPr>
              <w:t>所在地</w:t>
            </w:r>
          </w:p>
        </w:tc>
        <w:tc>
          <w:tcPr>
            <w:tcW w:w="7962" w:type="dxa"/>
            <w:gridSpan w:val="4"/>
            <w:vAlign w:val="center"/>
          </w:tcPr>
          <w:p>
            <w:pPr>
              <w:pStyle w:val="0"/>
              <w:widowControl w:val="1"/>
              <w:rPr>
                <w:rFonts w:hint="default" w:ascii="ＭＳ ゴシック" w:hAnsi="ＭＳ ゴシック" w:eastAsia="ＭＳ ゴシック"/>
                <w:color w:val="auto"/>
                <w:kern w:val="0"/>
                <w:sz w:val="24"/>
              </w:rPr>
            </w:pPr>
          </w:p>
        </w:tc>
      </w:tr>
      <w:tr>
        <w:trPr>
          <w:trHeight w:val="340" w:hRule="atLeast"/>
        </w:trPr>
        <w:tc>
          <w:tcPr>
            <w:tcW w:w="237" w:type="dxa"/>
            <w:vMerge w:val="continue"/>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8"/>
              </w:rPr>
            </w:pPr>
          </w:p>
        </w:tc>
        <w:tc>
          <w:tcPr>
            <w:tcW w:w="1264" w:type="dxa"/>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連絡先</w:t>
            </w:r>
          </w:p>
        </w:tc>
        <w:tc>
          <w:tcPr>
            <w:tcW w:w="7962" w:type="dxa"/>
            <w:gridSpan w:val="4"/>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kern w:val="24"/>
                <w:sz w:val="24"/>
              </w:rPr>
              <w:t>（電話番号、メールアドレス）</w:t>
            </w:r>
          </w:p>
        </w:tc>
      </w:tr>
      <w:tr>
        <w:trPr>
          <w:trHeight w:val="458" w:hRule="atLeast"/>
        </w:trPr>
        <w:tc>
          <w:tcPr>
            <w:tcW w:w="1501" w:type="dxa"/>
            <w:gridSpan w:val="2"/>
            <w:vMerge w:val="restart"/>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収容率</w:t>
            </w:r>
          </w:p>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（上限）</w:t>
            </w:r>
          </w:p>
        </w:tc>
        <w:tc>
          <w:tcPr>
            <w:tcW w:w="7962" w:type="dxa"/>
            <w:gridSpan w:val="4"/>
            <w:tcBorders>
              <w:top w:val="single" w:color="000000" w:themeColor="text1" w:sz="4" w:space="0"/>
              <w:left w:val="single" w:color="000000" w:themeColor="text1" w:sz="4" w:space="0"/>
              <w:bottom w:val="dashed" w:color="000000" w:themeColor="text1" w:sz="4" w:space="0"/>
              <w:right w:val="single" w:color="000000" w:themeColor="text1" w:sz="4" w:space="0"/>
              <w:tl2br w:val="none" w:color="auto" w:sz="0" w:space="0"/>
              <w:tr2bl w:val="none" w:color="auto" w:sz="0" w:space="0"/>
            </w:tcBorders>
            <w:shd w:val="clear" w:color="auto" w:fill="auto"/>
            <w:vAlign w:val="center"/>
          </w:tcPr>
          <w:p>
            <w:pPr>
              <w:pStyle w:val="0"/>
              <w:jc w:val="center"/>
              <w:rPr>
                <w:rFonts w:hint="eastAsia"/>
                <w:color w:val="auto"/>
                <w:sz w:val="24"/>
              </w:rPr>
            </w:pPr>
            <w:r>
              <w:rPr>
                <w:rFonts w:hint="eastAsia" w:ascii="ＭＳ ゴシック" w:hAnsi="ＭＳ ゴシック" w:eastAsia="ＭＳ ゴシック"/>
                <w:color w:val="auto"/>
                <w:sz w:val="24"/>
              </w:rPr>
              <w:t>大声なしで開催</w:t>
            </w:r>
          </w:p>
        </w:tc>
      </w:tr>
      <w:tr>
        <w:trPr>
          <w:trHeight w:val="458" w:hRule="atLeast"/>
        </w:trPr>
        <w:tc>
          <w:tcPr>
            <w:tcW w:w="1501" w:type="dxa"/>
            <w:gridSpan w:val="2"/>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c>
          <w:tcPr>
            <w:tcW w:w="489" w:type="dxa"/>
            <w:tcBorders>
              <w:top w:val="single" w:color="000000" w:themeColor="text1" w:sz="4" w:space="0"/>
              <w:left w:val="single" w:color="000000" w:themeColor="text1" w:sz="4" w:space="0"/>
              <w:bottom w:val="dashed" w:color="000000" w:themeColor="text1" w:sz="4" w:space="0"/>
              <w:right w:val="single" w:color="FFFFFF" w:themeColor="background1"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b w:val="1"/>
                <w:color w:val="auto"/>
                <w:sz w:val="28"/>
              </w:rPr>
              <w:t>□</w:t>
            </w:r>
            <w:r>
              <w:rPr>
                <w:rFonts w:hint="eastAsia" w:ascii="ＭＳ ゴシック" w:hAnsi="ＭＳ ゴシック" w:eastAsia="ＭＳ ゴシック"/>
                <w:color w:val="auto"/>
                <w:sz w:val="36"/>
              </w:rPr>
              <w:t>　</w:t>
            </w:r>
          </w:p>
        </w:tc>
        <w:tc>
          <w:tcPr>
            <w:tcW w:w="2835" w:type="dxa"/>
            <w:tcBorders>
              <w:top w:val="single" w:color="000000" w:themeColor="text1" w:sz="4" w:space="0"/>
              <w:left w:val="single" w:color="FFFFFF" w:themeColor="background1" w:sz="4" w:space="0"/>
              <w:bottom w:val="dashed" w:color="000000" w:themeColor="text1"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①収容定員あり</w:t>
            </w:r>
          </w:p>
          <w:p>
            <w:pPr>
              <w:pStyle w:val="0"/>
              <w:ind w:firstLine="240" w:firstLineChars="10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１００％</w:t>
            </w:r>
          </w:p>
        </w:tc>
        <w:tc>
          <w:tcPr>
            <w:tcW w:w="525" w:type="dxa"/>
            <w:tcBorders>
              <w:top w:val="single" w:color="000000" w:themeColor="text1" w:sz="4" w:space="0"/>
              <w:left w:val="single" w:color="auto" w:sz="4" w:space="0"/>
              <w:bottom w:val="dashed" w:color="000000" w:themeColor="text1" w:sz="4" w:space="0"/>
              <w:right w:val="single" w:color="FFFFFF" w:sz="4" w:space="0"/>
              <w:tl2br w:val="none" w:color="auto" w:sz="0" w:space="0"/>
              <w:tr2bl w:val="none" w:color="auto" w:sz="0" w:space="0"/>
            </w:tcBorders>
            <w:shd w:val="clear" w:color="auto" w:fill="auto"/>
            <w:vAlign w:val="center"/>
          </w:tcPr>
          <w:p>
            <w:pPr>
              <w:pStyle w:val="0"/>
              <w:ind w:leftChars="0" w:firstLine="11" w:firstLineChars="4"/>
              <w:jc w:val="center"/>
              <w:rPr>
                <w:rFonts w:hint="default" w:ascii="ＭＳ ゴシック" w:hAnsi="ＭＳ ゴシック" w:eastAsia="ＭＳ ゴシック"/>
                <w:color w:val="auto"/>
                <w:sz w:val="24"/>
              </w:rPr>
            </w:pPr>
            <w:r>
              <w:rPr>
                <w:rFonts w:hint="eastAsia" w:ascii="ＭＳ ゴシック" w:hAnsi="ＭＳ ゴシック" w:eastAsia="ＭＳ ゴシック"/>
                <w:b w:val="1"/>
                <w:color w:val="auto"/>
                <w:sz w:val="28"/>
              </w:rPr>
              <w:t>□</w:t>
            </w:r>
          </w:p>
        </w:tc>
        <w:tc>
          <w:tcPr>
            <w:tcW w:w="4113" w:type="dxa"/>
            <w:tcBorders>
              <w:top w:val="single" w:color="000000" w:themeColor="text1" w:sz="4" w:space="0"/>
              <w:left w:val="single" w:color="FFFFFF" w:sz="4" w:space="0"/>
              <w:bottom w:val="dashed" w:color="000000" w:themeColor="text1" w:sz="4" w:space="0"/>
              <w:right w:val="single" w:color="000000" w:themeColor="text1" w:sz="4" w:space="0"/>
              <w:tl2br w:val="none" w:color="auto" w:sz="0" w:space="0"/>
              <w:tr2bl w:val="none" w:color="auto" w:sz="0" w:space="0"/>
            </w:tcBorders>
            <w:shd w:val="clear" w:color="auto" w:fill="auto"/>
            <w:vAlign w:val="center"/>
          </w:tcPr>
          <w:p>
            <w:pPr>
              <w:pStyle w:val="0"/>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②収容定員なし</w:t>
            </w:r>
          </w:p>
          <w:p>
            <w:pPr>
              <w:pStyle w:val="0"/>
              <w:ind w:firstLine="240" w:firstLineChars="100"/>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人と人が触れ合わない程度の間隔</w:t>
            </w:r>
          </w:p>
        </w:tc>
      </w:tr>
      <w:tr>
        <w:trPr>
          <w:trHeight w:val="299" w:hRule="atLeast"/>
        </w:trPr>
        <w:tc>
          <w:tcPr>
            <w:tcW w:w="1501" w:type="dxa"/>
            <w:gridSpan w:val="2"/>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default" w:ascii="ＭＳ ゴシック" w:hAnsi="ＭＳ ゴシック" w:eastAsia="ＭＳ ゴシック"/>
                <w:sz w:val="24"/>
              </w:rPr>
            </w:pPr>
          </w:p>
        </w:tc>
        <w:tc>
          <w:tcPr>
            <w:tcW w:w="7962" w:type="dxa"/>
            <w:gridSpan w:val="4"/>
            <w:tcBorders>
              <w:top w:val="dashed"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shd w:val="clear" w:color="auto" w:fill="auto"/>
            <w:vAlign w:val="center"/>
          </w:tcPr>
          <w:p>
            <w:pPr>
              <w:pStyle w:val="19"/>
              <w:ind w:left="-38" w:leftChars="-18" w:firstLine="0" w:firstLineChars="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「大声あり」、「大声なし」のエリアを明確に区分して開催</w:t>
            </w:r>
          </w:p>
        </w:tc>
      </w:tr>
      <w:tr>
        <w:trPr>
          <w:trHeight w:val="1482" w:hRule="atLeast"/>
        </w:trPr>
        <w:tc>
          <w:tcPr>
            <w:tcW w:w="1501" w:type="dxa"/>
            <w:gridSpan w:val="2"/>
            <w:vMerge w:val="continue"/>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rPr>
                <w:rFonts w:hint="eastAsia"/>
              </w:rPr>
            </w:pPr>
          </w:p>
        </w:tc>
        <w:tc>
          <w:tcPr>
            <w:tcW w:w="489" w:type="dxa"/>
            <w:tcBorders>
              <w:top w:val="dashed" w:color="000000" w:themeColor="text1" w:sz="4" w:space="0"/>
              <w:left w:val="single" w:color="000000" w:themeColor="text1" w:sz="4" w:space="0"/>
              <w:bottom w:val="single" w:color="000000" w:themeColor="text1" w:sz="4" w:space="0"/>
              <w:right w:val="single" w:color="FFFFFF" w:themeColor="background1"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ＭＳ ゴシック" w:hAnsi="ＭＳ ゴシック" w:eastAsia="ＭＳ ゴシック"/>
                <w:b w:val="1"/>
                <w:color w:val="auto"/>
                <w:sz w:val="28"/>
              </w:rPr>
              <w:t>□</w:t>
            </w:r>
          </w:p>
        </w:tc>
        <w:tc>
          <w:tcPr>
            <w:tcW w:w="2835" w:type="dxa"/>
            <w:tcBorders>
              <w:top w:val="dashed" w:color="000000" w:themeColor="text1" w:sz="4" w:space="0"/>
              <w:left w:val="single" w:color="FFFFFF" w:themeColor="background1" w:sz="4" w:space="0"/>
              <w:bottom w:val="single" w:color="000000" w:themeColor="text1" w:sz="4" w:space="0"/>
              <w:right w:val="single" w:color="auto"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③収容定員あり</w:t>
            </w:r>
          </w:p>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大声なしのエリア</w:t>
            </w:r>
            <w:r>
              <w:rPr>
                <w:rFonts w:hint="eastAsia" w:ascii="ＭＳ ゴシック" w:hAnsi="ＭＳ ゴシック" w:eastAsia="ＭＳ ゴシック"/>
                <w:color w:val="auto"/>
                <w:sz w:val="24"/>
              </w:rPr>
              <w:t>:100%</w:t>
            </w:r>
          </w:p>
          <w:p>
            <w:pPr>
              <w:pStyle w:val="0"/>
              <w:rPr>
                <w:rFonts w:hint="eastAsia"/>
                <w:color w:val="auto"/>
              </w:rPr>
            </w:pPr>
            <w:r>
              <w:rPr>
                <w:rFonts w:hint="eastAsia" w:ascii="ＭＳ ゴシック" w:hAnsi="ＭＳ ゴシック" w:eastAsia="ＭＳ ゴシック"/>
                <w:color w:val="auto"/>
                <w:sz w:val="24"/>
              </w:rPr>
              <w:t>大声ありのエリア</w:t>
            </w:r>
            <w:r>
              <w:rPr>
                <w:rFonts w:hint="eastAsia" w:ascii="ＭＳ ゴシック" w:hAnsi="ＭＳ ゴシック" w:eastAsia="ＭＳ ゴシック"/>
                <w:color w:val="auto"/>
                <w:sz w:val="24"/>
              </w:rPr>
              <w:t>:50%</w:t>
            </w:r>
          </w:p>
        </w:tc>
        <w:tc>
          <w:tcPr>
            <w:tcW w:w="525" w:type="dxa"/>
            <w:tcBorders>
              <w:top w:val="dashed" w:color="000000" w:themeColor="text1" w:sz="4" w:space="0"/>
              <w:left w:val="single" w:color="auto" w:sz="4" w:space="0"/>
              <w:bottom w:val="single" w:color="000000" w:themeColor="text1" w:sz="4" w:space="0"/>
              <w:right w:val="single" w:color="FFFFFF" w:themeColor="background1" w:sz="4"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ascii="ＭＳ ゴシック" w:hAnsi="ＭＳ ゴシック" w:eastAsia="ＭＳ ゴシック"/>
                <w:b w:val="1"/>
                <w:color w:val="auto"/>
                <w:sz w:val="28"/>
              </w:rPr>
              <w:t>□</w:t>
            </w:r>
          </w:p>
        </w:tc>
        <w:tc>
          <w:tcPr>
            <w:tcW w:w="4113" w:type="dxa"/>
            <w:tcBorders>
              <w:top w:val="dashed" w:color="000000" w:themeColor="text1" w:sz="4" w:space="0"/>
              <w:left w:val="single" w:color="FFFFFF" w:themeColor="background1" w:sz="4" w:space="0"/>
              <w:bottom w:val="single" w:color="000000" w:themeColor="text1" w:sz="4" w:space="0"/>
              <w:right w:val="single" w:color="000000" w:themeColor="text1" w:sz="4"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④収容定員なし</w:t>
            </w:r>
          </w:p>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大声なしのエリア</w:t>
            </w:r>
            <w:r>
              <w:rPr>
                <w:rFonts w:hint="eastAsia" w:ascii="ＭＳ ゴシック" w:hAnsi="ＭＳ ゴシック" w:eastAsia="ＭＳ ゴシック"/>
                <w:color w:val="auto"/>
                <w:sz w:val="24"/>
              </w:rPr>
              <w:t>:</w:t>
            </w:r>
          </w:p>
          <w:p>
            <w:pPr>
              <w:pStyle w:val="0"/>
              <w:ind w:firstLine="240" w:firstLineChars="10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人と人が触れ合わない程度の間隔</w:t>
            </w:r>
          </w:p>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大声ありのエリア</w:t>
            </w:r>
            <w:r>
              <w:rPr>
                <w:rFonts w:hint="eastAsia" w:ascii="ＭＳ ゴシック" w:hAnsi="ＭＳ ゴシック" w:eastAsia="ＭＳ ゴシック"/>
                <w:color w:val="auto"/>
                <w:sz w:val="24"/>
              </w:rPr>
              <w:t>:</w:t>
            </w:r>
          </w:p>
          <w:p>
            <w:pPr>
              <w:pStyle w:val="0"/>
              <w:ind w:firstLine="240" w:firstLineChars="100"/>
              <w:rPr>
                <w:rFonts w:hint="eastAsia"/>
                <w:color w:val="auto"/>
              </w:rPr>
            </w:pPr>
            <w:r>
              <w:rPr>
                <w:rFonts w:hint="eastAsia" w:ascii="ＭＳ ゴシック" w:hAnsi="ＭＳ ゴシック" w:eastAsia="ＭＳ ゴシック"/>
                <w:color w:val="auto"/>
                <w:sz w:val="24"/>
              </w:rPr>
              <w:t>十分な人と人との間隔</w:t>
            </w: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最低１ｍ</w:t>
            </w:r>
            <w:r>
              <w:rPr>
                <w:rFonts w:hint="eastAsia" w:ascii="ＭＳ ゴシック" w:hAnsi="ＭＳ ゴシック" w:eastAsia="ＭＳ ゴシック"/>
                <w:color w:val="auto"/>
                <w:sz w:val="24"/>
              </w:rPr>
              <w:t>)</w:t>
            </w:r>
          </w:p>
        </w:tc>
      </w:tr>
      <w:tr>
        <w:trPr>
          <w:trHeight w:val="680" w:hRule="atLeast"/>
        </w:trPr>
        <w:tc>
          <w:tcPr>
            <w:tcW w:w="1501" w:type="dxa"/>
            <w:gridSpan w:val="2"/>
            <w:tcBorders>
              <w:top w:val="none" w:color="auto" w:sz="0"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収容定員</w:t>
            </w:r>
          </w:p>
        </w:tc>
        <w:tc>
          <w:tcPr>
            <w:tcW w:w="3324" w:type="dxa"/>
            <w:gridSpan w:val="2"/>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○○○人（注）</w:t>
            </w:r>
          </w:p>
        </w:tc>
        <w:tc>
          <w:tcPr>
            <w:tcW w:w="4638" w:type="dxa"/>
            <w:gridSpan w:val="2"/>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収容予定</w:t>
            </w:r>
          </w:p>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人数</w:t>
            </w:r>
          </w:p>
        </w:tc>
        <w:tc>
          <w:tcPr>
            <w:tcW w:w="7962" w:type="dxa"/>
            <w:gridSpan w:val="4"/>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w:t>
            </w:r>
            <w:r>
              <w:rPr>
                <w:rFonts w:hint="eastAsia" w:ascii="ＭＳ ゴシック" w:hAnsi="ＭＳ ゴシック" w:eastAsia="ＭＳ ゴシック"/>
                <w:color w:val="auto"/>
                <w:sz w:val="24"/>
              </w:rPr>
              <w:t>○○○人（注）</w:t>
            </w:r>
          </w:p>
        </w:tc>
      </w:tr>
      <w:tr>
        <w:trPr>
          <w:trHeight w:val="680"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対象者全員検査の実施</w:t>
            </w:r>
          </w:p>
        </w:tc>
        <w:tc>
          <w:tcPr>
            <w:tcW w:w="7962" w:type="dxa"/>
            <w:gridSpan w:val="4"/>
            <w:vAlign w:val="center"/>
          </w:tcPr>
          <w:p>
            <w:pPr>
              <w:pStyle w:val="0"/>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w:t>
            </w:r>
            <w:r>
              <w:rPr>
                <w:rFonts w:hint="default" w:ascii="ＭＳ ゴシック" w:hAnsi="ＭＳ ゴシック" w:eastAsia="ＭＳ ゴシック"/>
                <w:color w:val="auto"/>
                <w:sz w:val="24"/>
              </w:rPr>
              <w:t xml:space="preserve"> </w:t>
            </w:r>
            <w:r>
              <w:rPr>
                <w:rFonts w:hint="eastAsia" w:ascii="ＭＳ ゴシック" w:hAnsi="ＭＳ ゴシック" w:eastAsia="ＭＳ ゴシック"/>
                <w:color w:val="auto"/>
                <w:sz w:val="24"/>
              </w:rPr>
              <w:t>緊急事態</w:t>
            </w:r>
            <w:r>
              <w:rPr>
                <w:rFonts w:hint="default" w:ascii="ＭＳ ゴシック" w:hAnsi="ＭＳ ゴシック" w:eastAsia="ＭＳ ゴシック"/>
                <w:color w:val="auto"/>
                <w:sz w:val="24"/>
              </w:rPr>
              <w:t>措置区域</w:t>
            </w:r>
            <w:r>
              <w:rPr>
                <w:rFonts w:hint="eastAsia" w:ascii="ＭＳ ゴシック" w:hAnsi="ＭＳ ゴシック" w:eastAsia="ＭＳ ゴシック"/>
                <w:color w:val="auto"/>
                <w:sz w:val="24"/>
              </w:rPr>
              <w:t>：</w:t>
            </w:r>
            <w:r>
              <w:rPr>
                <w:rFonts w:hint="default" w:ascii="ＭＳ ゴシック" w:hAnsi="ＭＳ ゴシック" w:eastAsia="ＭＳ ゴシック"/>
                <w:color w:val="auto"/>
                <w:sz w:val="24"/>
              </w:rPr>
              <w:t>人数上限</w:t>
            </w:r>
            <w:r>
              <w:rPr>
                <w:rFonts w:hint="eastAsia" w:ascii="ＭＳ ゴシック" w:hAnsi="ＭＳ ゴシック" w:eastAsia="ＭＳ ゴシック"/>
                <w:color w:val="auto"/>
                <w:sz w:val="24"/>
              </w:rPr>
              <w:t>1</w:t>
            </w:r>
            <w:r>
              <w:rPr>
                <w:rFonts w:hint="default" w:ascii="ＭＳ ゴシック" w:hAnsi="ＭＳ ゴシック" w:eastAsia="ＭＳ ゴシック"/>
                <w:color w:val="auto"/>
                <w:sz w:val="24"/>
              </w:rPr>
              <w:t>0,00</w:t>
            </w:r>
            <w:r>
              <w:rPr>
                <w:rFonts w:hint="eastAsia" w:ascii="ＭＳ ゴシック" w:hAnsi="ＭＳ ゴシック" w:eastAsia="ＭＳ ゴシック"/>
                <w:color w:val="auto"/>
                <w:sz w:val="24"/>
              </w:rPr>
              <w:t>0</w:t>
            </w:r>
            <w:r>
              <w:rPr>
                <w:rFonts w:hint="default" w:ascii="ＭＳ ゴシック" w:hAnsi="ＭＳ ゴシック" w:eastAsia="ＭＳ ゴシック"/>
                <w:color w:val="auto"/>
                <w:sz w:val="24"/>
              </w:rPr>
              <w:t>人を</w:t>
            </w:r>
            <w:r>
              <w:rPr>
                <w:rFonts w:hint="eastAsia" w:ascii="ＭＳ ゴシック" w:hAnsi="ＭＳ ゴシック" w:eastAsia="ＭＳ ゴシック"/>
                <w:color w:val="auto"/>
                <w:sz w:val="24"/>
              </w:rPr>
              <w:t>収容</w:t>
            </w:r>
            <w:r>
              <w:rPr>
                <w:rFonts w:hint="default" w:ascii="ＭＳ ゴシック" w:hAnsi="ＭＳ ゴシック" w:eastAsia="ＭＳ ゴシック"/>
                <w:color w:val="auto"/>
                <w:sz w:val="24"/>
              </w:rPr>
              <w:t>定員まで</w:t>
            </w:r>
            <w:r>
              <w:rPr>
                <w:rFonts w:hint="eastAsia" w:ascii="ＭＳ ゴシック" w:hAnsi="ＭＳ ゴシック" w:eastAsia="ＭＳ ゴシック"/>
                <w:color w:val="auto"/>
                <w:sz w:val="24"/>
              </w:rPr>
              <w:t>緩和</w:t>
            </w:r>
          </w:p>
        </w:tc>
      </w:tr>
      <w:tr>
        <w:trPr>
          <w:trHeight w:val="814" w:hRule="atLeast"/>
        </w:trPr>
        <w:tc>
          <w:tcPr>
            <w:tcW w:w="1501" w:type="dxa"/>
            <w:gridSpan w:val="2"/>
            <w:vAlign w:val="center"/>
          </w:tcPr>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その他</w:t>
            </w:r>
          </w:p>
          <w:p>
            <w:pPr>
              <w:pStyle w:val="0"/>
              <w:jc w:val="center"/>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特記事項</w:t>
            </w:r>
          </w:p>
        </w:tc>
        <w:tc>
          <w:tcPr>
            <w:tcW w:w="7962" w:type="dxa"/>
            <w:gridSpan w:val="4"/>
            <w:vAlign w:val="top"/>
          </w:tcPr>
          <w:p>
            <w:pPr>
              <w:pStyle w:val="0"/>
              <w:rPr>
                <w:rFonts w:hint="default" w:ascii="ＭＳ ゴシック" w:hAnsi="ＭＳ ゴシック" w:eastAsia="ＭＳ ゴシック"/>
                <w:color w:val="auto"/>
                <w:sz w:val="24"/>
              </w:rPr>
            </w:pPr>
          </w:p>
          <w:p>
            <w:pPr>
              <w:pStyle w:val="0"/>
              <w:rPr>
                <w:rFonts w:hint="default" w:ascii="ＭＳ ゴシック" w:hAnsi="ＭＳ ゴシック" w:eastAsia="ＭＳ ゴシック"/>
                <w:color w:val="auto"/>
                <w:sz w:val="24"/>
              </w:rPr>
            </w:pPr>
          </w:p>
        </w:tc>
      </w:tr>
    </w:tbl>
    <w:p>
      <w:pPr>
        <w:pStyle w:val="0"/>
        <w:adjustRightInd w:val="0"/>
        <w:snapToGrid w:val="0"/>
        <w:ind w:left="727" w:hanging="727" w:hangingChars="303"/>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（※）大声の定義を「観客等が、通常よりも大きな声量で、反復・継続的に声を発すること」とし、これを積極的に推奨する又は必要な対策を十分に施さないイベントは「大声あり」に該当するものとする。</w:t>
      </w:r>
    </w:p>
    <w:p>
      <w:pPr>
        <w:pStyle w:val="0"/>
        <w:adjustRightInd w:val="0"/>
        <w:snapToGrid w:val="0"/>
        <w:ind w:left="727" w:hanging="727" w:hangingChars="303"/>
        <w:jc w:val="left"/>
        <w:rPr>
          <w:rFonts w:hint="default" w:ascii="ＭＳ ゴシック" w:hAnsi="ＭＳ ゴシック" w:eastAsia="ＭＳ ゴシック"/>
          <w:color w:val="auto"/>
          <w:sz w:val="24"/>
        </w:rPr>
      </w:pPr>
      <w:r>
        <w:rPr>
          <w:rFonts w:hint="eastAsia" w:ascii="ＭＳ ゴシック" w:hAnsi="ＭＳ ゴシック" w:eastAsia="ＭＳ ゴシック"/>
          <w:color w:val="auto"/>
          <w:sz w:val="24"/>
        </w:rPr>
        <w:t>（注）収容率（上限）において、③を選択した場合は、「大声あり」と「大声なし」のエリアの区分ごとの収容定員・参加人数を記載すること。</w:t>
      </w:r>
      <w:r>
        <w:rPr>
          <w:rFonts w:hint="default" w:ascii="ＭＳ ゴシック" w:hAnsi="ＭＳ ゴシック" w:eastAsia="ＭＳ ゴシック"/>
          <w:color w:val="auto"/>
          <w:sz w:val="24"/>
        </w:rPr>
        <w:br w:type="page"/>
      </w:r>
    </w:p>
    <w:p>
      <w:pPr>
        <w:pStyle w:val="0"/>
        <w:jc w:val="left"/>
        <w:rPr>
          <w:rFonts w:hint="default" w:ascii="ＭＳ ゴシック" w:hAnsi="ＭＳ ゴシック" w:eastAsia="ＭＳ ゴシック"/>
          <w:color w:val="auto"/>
          <w:sz w:val="28"/>
          <w:bdr w:val="single" w:color="auto" w:sz="4" w:space="0"/>
        </w:rPr>
      </w:pPr>
      <w:r>
        <w:rPr>
          <w:rFonts w:hint="eastAsia" w:ascii="ＭＳ ゴシック" w:hAnsi="ＭＳ ゴシック" w:eastAsia="ＭＳ ゴシック"/>
          <w:color w:val="auto"/>
          <w:sz w:val="28"/>
          <w:bdr w:val="single" w:color="auto" w:sz="4" w:space="0"/>
        </w:rPr>
        <w:t>２</w:t>
      </w:r>
      <w:r>
        <w:rPr>
          <w:rFonts w:hint="eastAsia" w:ascii="ＭＳ ゴシック" w:hAnsi="ＭＳ ゴシック" w:eastAsia="ＭＳ ゴシック"/>
          <w:color w:val="auto"/>
          <w:sz w:val="28"/>
          <w:bdr w:val="single" w:color="auto" w:sz="4" w:space="0"/>
        </w:rPr>
        <w:t>.</w:t>
      </w:r>
      <w:r>
        <w:rPr>
          <w:rFonts w:hint="eastAsia" w:ascii="ＭＳ ゴシック" w:hAnsi="ＭＳ ゴシック" w:eastAsia="ＭＳ ゴシック"/>
          <w:color w:val="auto"/>
          <w:sz w:val="28"/>
          <w:bdr w:val="single" w:color="auto" w:sz="4" w:space="0"/>
        </w:rPr>
        <w:t>具体的な対策　</w:t>
      </w:r>
    </w:p>
    <w:p>
      <w:pPr>
        <w:pStyle w:val="0"/>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１．イベント参加者の感染対策</w:t>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（１）感染経路に応じた感染対策</w:t>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①</w:t>
      </w:r>
      <w:r>
        <w:rPr>
          <w:rFonts w:hint="eastAsia" w:ascii="ＭＳ ゴシック" w:hAnsi="ＭＳ ゴシック" w:eastAsia="ＭＳ ゴシック"/>
          <w:color w:val="auto"/>
          <w:sz w:val="28"/>
        </w:rPr>
        <w:t>飛沫感染対策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adjustRightInd w:val="0"/>
        <w:snapToGrid w:val="0"/>
        <w:ind w:left="1274" w:leftChars="263" w:hanging="722" w:hangingChars="301"/>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4"/>
        </w:rPr>
        <w:t>適切なマスク（不織布マスクを推奨｡以下同じ｡）の正しい着用の周知・徹底</w:t>
      </w:r>
    </w:p>
    <w:p>
      <w:pPr>
        <w:pStyle w:val="19"/>
        <w:adjustRightInd w:val="0"/>
        <w:snapToGrid w:val="0"/>
        <w:ind w:left="525" w:leftChars="250" w:firstLine="31" w:firstLineChars="11"/>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4"/>
        </w:rPr>
        <w:t>イベント会場（客席、入退場口やトイレ等の共用部）におけるイベント参加者間の適切な距離の確保</w:t>
      </w:r>
    </w:p>
    <w:p>
      <w:pPr>
        <w:pStyle w:val="19"/>
        <w:adjustRightInd w:val="0"/>
        <w:snapToGrid w:val="0"/>
        <w:ind w:left="1274" w:leftChars="263" w:hanging="722" w:hangingChars="301"/>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（「大声あり」、「大声なし」のエリアを区分して開催する場合、上記対策に加えて、）</w:t>
      </w:r>
    </w:p>
    <w:p>
      <w:pPr>
        <w:pStyle w:val="19"/>
        <w:adjustRightInd w:val="0"/>
        <w:snapToGrid w:val="0"/>
        <w:ind w:left="525" w:leftChars="250" w:firstLine="31" w:firstLineChars="11"/>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4"/>
        </w:rPr>
        <w:t>大声なしエリア・大声ありエリアの明確な区分があり、それぞれにおける、イベント参加者間の適切な距離の確保</w:t>
      </w:r>
    </w:p>
    <w:p>
      <w:pPr>
        <w:pStyle w:val="19"/>
        <w:adjustRightInd w:val="0"/>
        <w:snapToGrid w:val="0"/>
        <w:ind w:left="525" w:leftChars="250" w:firstLine="31" w:firstLineChars="11"/>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4"/>
        </w:rPr>
        <w:t>大声なしエリアにおける、大声を防止するための対策の実施</w:t>
      </w:r>
    </w:p>
    <w:p>
      <w:pPr>
        <w:pStyle w:val="19"/>
        <w:adjustRightInd w:val="0"/>
        <w:snapToGrid w:val="0"/>
        <w:ind w:left="1274" w:leftChars="263" w:hanging="722" w:hangingChars="301"/>
        <w:rPr>
          <w:rFonts w:hint="default" w:ascii="ＭＳ 明朝" w:hAnsi="ＭＳ 明朝" w:eastAsia="ＭＳ 明朝"/>
          <w:color w:val="auto"/>
          <w:sz w:val="24"/>
        </w:rPr>
      </w:pP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1"/>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マスクを着用しない者や大声を出す者（大声なしの場合）に対する個別注意等の具体的方法の検討・実施</w:t>
            </w:r>
          </w:p>
          <w:p>
            <w:pPr>
              <w:pStyle w:val="19"/>
              <w:numPr>
                <w:ilvl w:val="0"/>
                <w:numId w:val="2"/>
              </w:numPr>
              <w:adjustRightInd w:val="0"/>
              <w:snapToGrid w:val="0"/>
              <w:ind w:left="691" w:leftChars="129" w:hanging="420" w:hangingChars="15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マスクを着用しない者や繰り返し大声を発する観客（大声なしの場合）の退場措置の事前準備・周知（チケット購入時の約款に明記等）</w:t>
            </w:r>
          </w:p>
          <w:p>
            <w:pPr>
              <w:pStyle w:val="19"/>
              <w:numPr>
                <w:ilvl w:val="0"/>
                <w:numId w:val="2"/>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応援自粛に係るファンクラブ等との事前調整</w:t>
            </w:r>
          </w:p>
          <w:p>
            <w:pPr>
              <w:pStyle w:val="19"/>
              <w:numPr>
                <w:ilvl w:val="0"/>
                <w:numId w:val="2"/>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警備員や映像・音声によるモニタリング、個別注意や退場の徹底</w:t>
            </w:r>
          </w:p>
          <w:p>
            <w:pPr>
              <w:pStyle w:val="19"/>
              <w:numPr>
                <w:ilvl w:val="0"/>
                <w:numId w:val="1"/>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入場ゲートの増設、開場時間の前倒し、時間差・分散退場の実施、密集を回避するための人員配置や動線確保等の体制構築、交通機関との連携（駅付近の混雑度データを踏まえた増便等）による誘導</w:t>
            </w:r>
          </w:p>
          <w:p>
            <w:pPr>
              <w:pStyle w:val="19"/>
              <w:numPr>
                <w:ilvl w:val="0"/>
                <w:numId w:val="1"/>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密になりやすい場所での二酸化炭素濃度測定器等を活用した混雑状況の把握・管理、マーキング、誘導員等の配置による誘導</w:t>
            </w:r>
          </w:p>
          <w:p>
            <w:pPr>
              <w:pStyle w:val="19"/>
              <w:numPr>
                <w:numId w:val="0"/>
              </w:numPr>
              <w:adjustRightInd w:val="0"/>
              <w:snapToGrid w:val="0"/>
              <w:ind w:left="0"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（「大声あり」、「大声なし」のエリアを区分して開催する場合、上記対策に加えて、）</w:t>
            </w:r>
          </w:p>
          <w:p>
            <w:pPr>
              <w:pStyle w:val="19"/>
              <w:numPr>
                <w:ilvl w:val="0"/>
                <w:numId w:val="1"/>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チケット販売時等におけるエリア区分に関する周知・徹底</w:t>
            </w:r>
          </w:p>
          <w:p>
            <w:pPr>
              <w:pStyle w:val="19"/>
              <w:numPr>
                <w:ilvl w:val="0"/>
                <w:numId w:val="2"/>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イベントごとの声出し応援のルール等の周知・徹底</w:t>
            </w:r>
          </w:p>
          <w:p>
            <w:pPr>
              <w:pStyle w:val="19"/>
              <w:numPr>
                <w:ilvl w:val="0"/>
                <w:numId w:val="2"/>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座席指定などエリアごとにチケットを分けて販売　</w:t>
            </w:r>
          </w:p>
          <w:p>
            <w:pPr>
              <w:pStyle w:val="19"/>
              <w:numPr>
                <w:ilvl w:val="0"/>
                <w:numId w:val="1"/>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主催者及び出演者等からのアナウンスや警備員の配置等による、大声なしエリアにおける応援自粛の呼びかけ、及び大声を出す者がいた場合の個別注意や退場の徹底</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r>
        <w:rPr>
          <w:rFonts w:hint="eastAsia"/>
          <w:color w:val="auto"/>
        </w:rPr>
        <w:br w:type="page"/>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②</w:t>
      </w:r>
      <w:r>
        <w:rPr>
          <w:rFonts w:hint="eastAsia" w:ascii="ＭＳ ゴシック" w:hAnsi="ＭＳ ゴシック" w:eastAsia="ＭＳ ゴシック"/>
          <w:color w:val="auto"/>
          <w:sz w:val="28"/>
        </w:rPr>
        <w:t>エアロゾル感染対策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75" w:leftChars="150"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機械換気による常時換気又は窓開け換気</w:t>
      </w:r>
    </w:p>
    <w:p>
      <w:pPr>
        <w:pStyle w:val="19"/>
        <w:numPr>
          <w:ilvl w:val="0"/>
          <w:numId w:val="2"/>
        </w:numPr>
        <w:adjustRightInd w:val="0"/>
        <w:snapToGrid w:val="0"/>
        <w:ind w:left="940" w:leftChars="0" w:hanging="59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必要な換気量（一人当たり換気量</w:t>
      </w:r>
      <w:r>
        <w:rPr>
          <w:rFonts w:hint="eastAsia" w:ascii="ＭＳ ゴシック" w:hAnsi="ＭＳ ゴシック" w:eastAsia="ＭＳ ゴシック"/>
          <w:color w:val="auto"/>
          <w:sz w:val="28"/>
        </w:rPr>
        <w:t>30./</w:t>
      </w:r>
      <w:r>
        <w:rPr>
          <w:rFonts w:hint="eastAsia" w:ascii="ＭＳ ゴシック" w:hAnsi="ＭＳ ゴシック" w:eastAsia="ＭＳ ゴシック"/>
          <w:color w:val="auto"/>
          <w:sz w:val="28"/>
        </w:rPr>
        <w:t>時を目安）を確保するため、二酸化炭素濃度を概ね</w:t>
      </w:r>
      <w:r>
        <w:rPr>
          <w:rFonts w:hint="eastAsia" w:ascii="ＭＳ ゴシック" w:hAnsi="ＭＳ ゴシック" w:eastAsia="ＭＳ ゴシック"/>
          <w:color w:val="auto"/>
          <w:sz w:val="28"/>
        </w:rPr>
        <w:t>1,000ppm</w:t>
      </w:r>
      <w:r>
        <w:rPr>
          <w:rFonts w:hint="eastAsia" w:ascii="ＭＳ ゴシック" w:hAnsi="ＭＳ ゴシック" w:eastAsia="ＭＳ ゴシック"/>
          <w:color w:val="auto"/>
          <w:sz w:val="28"/>
        </w:rPr>
        <w:t>以下を目安（二酸化炭素濃度測定器の活用が効果的）</w:t>
      </w:r>
    </w:p>
    <w:p>
      <w:pPr>
        <w:pStyle w:val="19"/>
        <w:numPr>
          <w:ilvl w:val="0"/>
          <w:numId w:val="2"/>
        </w:numPr>
        <w:adjustRightInd w:val="0"/>
        <w:snapToGrid w:val="0"/>
        <w:ind w:left="940" w:leftChars="0" w:hanging="59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機械換気が設置されていない場合の窓開け換気は、可能な範囲で２方向の窓開け</w:t>
      </w:r>
    </w:p>
    <w:p>
      <w:pPr>
        <w:pStyle w:val="19"/>
        <w:numPr>
          <w:ilvl w:val="0"/>
          <w:numId w:val="2"/>
        </w:numPr>
        <w:adjustRightInd w:val="0"/>
        <w:snapToGrid w:val="0"/>
        <w:ind w:left="940" w:leftChars="0" w:hanging="59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機械換気、窓開け換気ともに、相対湿度の目安は</w:t>
      </w:r>
      <w:r>
        <w:rPr>
          <w:rFonts w:hint="eastAsia" w:ascii="ＭＳ ゴシック" w:hAnsi="ＭＳ ゴシック" w:eastAsia="ＭＳ ゴシック"/>
          <w:color w:val="auto"/>
          <w:sz w:val="28"/>
        </w:rPr>
        <w:t>40-70%</w:t>
      </w:r>
    </w:p>
    <w:p>
      <w:pPr>
        <w:pStyle w:val="19"/>
        <w:numPr>
          <w:ilvl w:val="0"/>
          <w:numId w:val="2"/>
        </w:numPr>
        <w:adjustRightInd w:val="0"/>
        <w:snapToGrid w:val="0"/>
        <w:ind w:left="940" w:leftChars="0" w:hanging="59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屋外開催は除く</w:t>
      </w:r>
    </w:p>
    <w:p>
      <w:pPr>
        <w:pStyle w:val="19"/>
        <w:numPr>
          <w:numId w:val="0"/>
        </w:numPr>
        <w:adjustRightInd w:val="0"/>
        <w:snapToGrid w:val="0"/>
        <w:ind w:left="875" w:leftChars="150"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適切なマスクの正しい着用の周知・徹底【①と同様】</w:t>
      </w:r>
    </w:p>
    <w:p>
      <w:pPr>
        <w:pStyle w:val="19"/>
        <w:numPr>
          <w:numId w:val="0"/>
        </w:numPr>
        <w:adjustRightInd w:val="0"/>
        <w:snapToGrid w:val="0"/>
        <w:ind w:left="875" w:leftChars="150"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イベント会場</w:t>
      </w:r>
      <w:r>
        <w:rPr>
          <w:rFonts w:hint="eastAsia" w:ascii="ＭＳ ゴシック" w:hAnsi="ＭＳ ゴシック" w:eastAsia="ＭＳ ゴシック"/>
          <w:color w:val="auto"/>
          <w:sz w:val="28"/>
        </w:rPr>
        <w:t>(</w:t>
      </w:r>
      <w:r>
        <w:rPr>
          <w:rFonts w:hint="eastAsia" w:ascii="ＭＳ ゴシック" w:hAnsi="ＭＳ ゴシック" w:eastAsia="ＭＳ ゴシック"/>
          <w:color w:val="auto"/>
          <w:sz w:val="28"/>
        </w:rPr>
        <w:t>客席、入退場口やトイレ等の共用部）におけるイベント参加者間の適切な距離の確保【①と同様】</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1912"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各施設の設備に応じた換気</w:t>
            </w:r>
          </w:p>
          <w:p>
            <w:pPr>
              <w:pStyle w:val="19"/>
              <w:numPr>
                <w:ilvl w:val="0"/>
                <w:numId w:val="2"/>
              </w:numPr>
              <w:adjustRightInd w:val="0"/>
              <w:snapToGrid w:val="0"/>
              <w:ind w:left="580" w:leftChars="0" w:hanging="58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施設に備わっている換気設備の確認、その仕様を踏まえた適切な換気</w:t>
            </w:r>
          </w:p>
          <w:p>
            <w:pPr>
              <w:pStyle w:val="19"/>
              <w:numPr>
                <w:ilvl w:val="0"/>
                <w:numId w:val="2"/>
              </w:numPr>
              <w:adjustRightInd w:val="0"/>
              <w:snapToGrid w:val="0"/>
              <w:ind w:left="580" w:leftChars="0" w:hanging="58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二酸化炭素濃度測定器による常時モニターや映像解析を活用した換気状況を確認するための手法の検討・実施</w:t>
            </w:r>
          </w:p>
          <w:p>
            <w:pPr>
              <w:pStyle w:val="19"/>
              <w:numPr>
                <w:ilvl w:val="0"/>
                <w:numId w:val="2"/>
              </w:numPr>
              <w:adjustRightInd w:val="0"/>
              <w:snapToGrid w:val="0"/>
              <w:ind w:left="580" w:leftChars="0" w:hanging="58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換気能力維持のための定期的な検査・メンテナンス</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マスクの着用及び距離の確保については、①飛沫感染対策の対策例を参照</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r>
        <w:rPr>
          <w:rFonts w:hint="eastAsia"/>
          <w:color w:val="auto"/>
        </w:rPr>
        <w:br w:type="page"/>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③</w:t>
      </w:r>
      <w:r>
        <w:rPr>
          <w:rFonts w:hint="eastAsia" w:ascii="ＭＳ ゴシック" w:hAnsi="ＭＳ ゴシック" w:eastAsia="ＭＳ ゴシック"/>
          <w:color w:val="auto"/>
          <w:sz w:val="28"/>
        </w:rPr>
        <w:t>接触感染対策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44" w:leftChars="135"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イベント参加者によるこまめな手洗・手指消毒の徹底や、主催者側によるイベント会場（客席、入退場口やトイレ等の共用部）の消毒の実施</w:t>
      </w:r>
    </w:p>
    <w:p>
      <w:pPr>
        <w:pStyle w:val="19"/>
        <w:numPr>
          <w:numId w:val="0"/>
        </w:numPr>
        <w:adjustRightInd w:val="0"/>
        <w:snapToGrid w:val="0"/>
        <w:ind w:left="842" w:leftChars="133" w:hanging="563" w:hangingChars="201"/>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イベント会場（客席、入退場口やトイレ等の共用部）におけるイベント参加者間の適切な距離の確保【①と同様】</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2478"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0"/>
              <w:numPr>
                <w:ilvl w:val="0"/>
                <w:numId w:val="3"/>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具体的な手洗場、アルコール等の手指消毒液の設置場所、準備個数等の検討・実施</w:t>
            </w:r>
          </w:p>
          <w:p>
            <w:pPr>
              <w:pStyle w:val="0"/>
              <w:numPr>
                <w:ilvl w:val="0"/>
                <w:numId w:val="3"/>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アナウンス等による手洗・手指消毒の呼びかけ</w:t>
            </w:r>
          </w:p>
          <w:p>
            <w:pPr>
              <w:pStyle w:val="0"/>
              <w:numPr>
                <w:ilvl w:val="0"/>
                <w:numId w:val="3"/>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距離の確保については、①飛沫感染対策の対策例を参照</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r>
        <w:rPr>
          <w:rFonts w:hint="eastAsia"/>
          <w:color w:val="auto"/>
        </w:rPr>
        <w:br w:type="page"/>
      </w:r>
    </w:p>
    <w:p>
      <w:pPr>
        <w:rPr>
          <w:rFonts w:hint="default" w:ascii="ＭＳ ゴシック" w:hAnsi="ＭＳ ゴシック" w:eastAsia="ＭＳ ゴシック"/>
          <w:sz w:val="28"/>
          <w:highlight w:val="yellow"/>
        </w:rPr>
        <w:sectPr>
          <w:footerReference r:id="rId6" w:type="default"/>
          <w:pgSz w:w="11906" w:h="16838"/>
          <w:pgMar w:top="1440" w:right="1077" w:bottom="1440" w:left="1077" w:header="851" w:footer="567" w:gutter="0"/>
          <w:cols w:space="720"/>
          <w:textDirection w:val="lrTb"/>
          <w:docGrid w:type="lines" w:linePitch="360"/>
        </w:sectPr>
      </w:pP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（２）その他の感染対策</w:t>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④</w:t>
      </w:r>
      <w:r>
        <w:rPr>
          <w:rFonts w:hint="eastAsia" w:ascii="ＭＳ ゴシック" w:hAnsi="ＭＳ ゴシック" w:eastAsia="ＭＳ ゴシック"/>
          <w:color w:val="auto"/>
          <w:sz w:val="28"/>
        </w:rPr>
        <w:t>飲食時の感染対策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33" w:leftChars="153" w:hanging="512" w:hangingChars="183"/>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上記（１）感染経路に応じた感染対策と併せて、飲食時の感染対策（食事中以外のマスク着用、飲食に伴いマスクを外す際の会話自粛等）の徹底の周知</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2661"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アナウンス等による飲食時の感染対策の呼びかけ</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飲食専用エリアの設置及び当該エリアでの飲食の推奨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飲食店に求められる感染対策等を踏まえた飲食専用エリアでの感染対策（身体的距離の確保、マスクを外して会話を行う者への個別注意等）</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　</w:t>
      </w:r>
    </w:p>
    <w:p>
      <w:pPr>
        <w:pStyle w:val="0"/>
        <w:jc w:val="left"/>
        <w:rPr>
          <w:rFonts w:hint="default" w:ascii="ＭＳ ゴシック" w:hAnsi="ＭＳ ゴシック" w:eastAsia="ＭＳ ゴシック"/>
          <w:color w:val="auto"/>
          <w:sz w:val="28"/>
          <w:bdr w:val="single" w:color="auto" w:sz="4" w:space="0"/>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⑤</w:t>
      </w:r>
      <w:r>
        <w:rPr>
          <w:rFonts w:hint="eastAsia" w:ascii="ＭＳ ゴシック" w:hAnsi="ＭＳ ゴシック" w:eastAsia="ＭＳ ゴシック"/>
          <w:color w:val="auto"/>
          <w:sz w:val="28"/>
        </w:rPr>
        <w:t>イベント前の感染対策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75" w:leftChars="150"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発熱等の症状がある者のイベント参加の自粛の呼びかけ</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1947"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体制構築の上、検温・検査の実施</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発熱等の症状がある者の参加自粛を促すことができるキャンセルポリシーの整備</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　</w:t>
      </w:r>
    </w:p>
    <w:p>
      <w:pPr>
        <w:pStyle w:val="0"/>
        <w:adjustRightInd w:val="0"/>
        <w:snapToGrid w:val="0"/>
        <w:rPr>
          <w:rFonts w:hint="default" w:ascii="ＭＳ ゴシック" w:hAnsi="ＭＳ ゴシック" w:eastAsia="ＭＳ ゴシック"/>
          <w:color w:val="auto"/>
          <w:sz w:val="28"/>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⑥</w:t>
      </w:r>
      <w:r>
        <w:rPr>
          <w:rFonts w:hint="eastAsia" w:ascii="ＭＳ ゴシック" w:hAnsi="ＭＳ ゴシック" w:eastAsia="ＭＳ ゴシック"/>
          <w:color w:val="auto"/>
          <w:sz w:val="28"/>
        </w:rPr>
        <w:t>感染拡大防止策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w:t>
      </w:r>
      <w:bookmarkStart w:id="0" w:name="_GoBack"/>
      <w:bookmarkEnd w:id="0"/>
      <w:r>
        <w:rPr>
          <w:rFonts w:hint="eastAsia" w:ascii="ＭＳ ゴシック" w:hAnsi="ＭＳ ゴシック" w:eastAsia="ＭＳ ゴシック"/>
          <w:color w:val="auto"/>
          <w:sz w:val="28"/>
        </w:rPr>
        <w:t>目＞</w:t>
      </w:r>
    </w:p>
    <w:p>
      <w:pPr>
        <w:pStyle w:val="19"/>
        <w:numPr>
          <w:numId w:val="0"/>
        </w:numPr>
        <w:adjustRightInd w:val="0"/>
        <w:snapToGrid w:val="0"/>
        <w:ind w:left="875" w:leftChars="150" w:hanging="560" w:hanging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イベントで感染者が発生した際の参加者への注意喚起</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2731"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感染者が発生した旨の参加者への迅速な周知</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各地域の通知サービス（</w:t>
            </w:r>
            <w:r>
              <w:rPr>
                <w:rFonts w:hint="eastAsia" w:ascii="ＭＳ ゴシック" w:hAnsi="ＭＳ ゴシック" w:eastAsia="ＭＳ ゴシック"/>
                <w:color w:val="auto"/>
                <w:sz w:val="28"/>
              </w:rPr>
              <w:t>Bluetooth</w:t>
            </w:r>
            <w:r>
              <w:rPr>
                <w:rFonts w:hint="eastAsia" w:ascii="ＭＳ ゴシック" w:hAnsi="ＭＳ ゴシック" w:eastAsia="ＭＳ ゴシック"/>
                <w:color w:val="auto"/>
                <w:sz w:val="28"/>
              </w:rPr>
              <w:t>や</w:t>
            </w:r>
            <w:r>
              <w:rPr>
                <w:rFonts w:hint="eastAsia" w:ascii="ＭＳ ゴシック" w:hAnsi="ＭＳ ゴシック" w:eastAsia="ＭＳ ゴシック"/>
                <w:color w:val="auto"/>
                <w:sz w:val="28"/>
              </w:rPr>
              <w:t>QR</w:t>
            </w:r>
            <w:r>
              <w:rPr>
                <w:rFonts w:hint="eastAsia" w:ascii="ＭＳ ゴシック" w:hAnsi="ＭＳ ゴシック" w:eastAsia="ＭＳ ゴシック"/>
                <w:color w:val="auto"/>
                <w:sz w:val="28"/>
              </w:rPr>
              <w:t>コードを用いたもの等）等による来場者情報の把握・管理手法の確立（アプリ等の確実なダウンロードや来場者情報を把握するための具体的な措置の検討）</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チケット購入時の参加者の連絡先把握</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　</w:t>
      </w:r>
    </w:p>
    <w:p>
      <w:pPr>
        <w:pStyle w:val="0"/>
        <w:jc w:val="left"/>
        <w:rPr>
          <w:rFonts w:hint="default" w:ascii="ＭＳ ゴシック" w:hAnsi="ＭＳ ゴシック" w:eastAsia="ＭＳ ゴシック"/>
          <w:color w:val="auto"/>
          <w:sz w:val="28"/>
          <w:bdr w:val="single" w:color="auto" w:sz="4" w:space="0"/>
        </w:rPr>
      </w:pPr>
    </w:p>
    <w:p>
      <w:pPr>
        <w:rPr>
          <w:rFonts w:hint="default" w:ascii="ＭＳ ゴシック" w:hAnsi="ＭＳ ゴシック" w:eastAsia="ＭＳ ゴシック"/>
          <w:sz w:val="28"/>
          <w:highlight w:val="yellow"/>
        </w:rPr>
        <w:sectPr>
          <w:pgSz w:w="11906" w:h="16838"/>
          <w:pgMar w:top="1440" w:right="1077" w:bottom="1440" w:left="1077" w:header="851" w:footer="992" w:gutter="0"/>
          <w:cols w:space="720"/>
          <w:textDirection w:val="lrTb"/>
          <w:docGrid w:type="lines" w:linePitch="360"/>
        </w:sectPr>
      </w:pP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２．出演者やスタッフの感染対策</w:t>
      </w:r>
    </w:p>
    <w:p>
      <w:pPr>
        <w:pStyle w:val="0"/>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highlight w:val="none"/>
        </w:rPr>
        <w:t>⑦</w:t>
      </w:r>
      <w:r>
        <w:rPr>
          <w:rFonts w:hint="eastAsia" w:ascii="ＭＳ ゴシック" w:hAnsi="ＭＳ ゴシック" w:eastAsia="ＭＳ ゴシック"/>
          <w:color w:val="auto"/>
          <w:sz w:val="28"/>
        </w:rPr>
        <w:t>出演者やスタッフの感染対策</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＜チェック項目＞</w:t>
      </w:r>
    </w:p>
    <w:p>
      <w:pPr>
        <w:pStyle w:val="19"/>
        <w:numPr>
          <w:numId w:val="0"/>
        </w:numPr>
        <w:adjustRightInd w:val="0"/>
        <w:snapToGrid w:val="0"/>
        <w:ind w:left="839" w:leftChars="150" w:hanging="524" w:hangingChars="187"/>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出演者やスタッフによる、練習時・本番等における上記（１）感染経路に応じた感染対策に加え、健康管理や必要に応じた検査等の実施</w:t>
      </w:r>
    </w:p>
    <w:p>
      <w:pPr>
        <w:pStyle w:val="19"/>
        <w:numPr>
          <w:numId w:val="0"/>
        </w:numPr>
        <w:adjustRightInd w:val="0"/>
        <w:snapToGrid w:val="0"/>
        <w:ind w:left="839" w:leftChars="150" w:hanging="524" w:hangingChars="187"/>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舞台と客席との適切な距離の確保など、出演者やスタッフから参加者に感染させないための対策の実施</w:t>
      </w:r>
    </w:p>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＜具体的な対策＞</w:t>
      </w:r>
    </w:p>
    <w:tbl>
      <w:tblPr>
        <w:tblStyle w:val="26"/>
        <w:tblW w:w="9174" w:type="dxa"/>
        <w:tblInd w:w="562" w:type="dxa"/>
        <w:tblLayout w:type="fixed"/>
        <w:tblLook w:firstRow="1" w:lastRow="0" w:firstColumn="1" w:lastColumn="0" w:noHBand="0" w:noVBand="1" w:val="04A0"/>
      </w:tblPr>
      <w:tblGrid>
        <w:gridCol w:w="9174"/>
      </w:tblGrid>
      <w:tr>
        <w:trPr>
          <w:trHeight w:val="3958" w:hRule="atLeast"/>
        </w:trPr>
        <w:tc>
          <w:tcPr>
            <w:tcW w:w="9174"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＜記載項目（例）＞（※）対策の例であり、必須の取組ではないことに留意すること</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日常から行う出演者やスタッフの感染対策の実施</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健康アプリの活用等による健康管理</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出演者やスタッフの必要に応じた検査の実施</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発熱等の症状がある者は出演・練習を控える</w:t>
            </w:r>
          </w:p>
          <w:p>
            <w:pPr>
              <w:pStyle w:val="19"/>
              <w:numPr>
                <w:ilvl w:val="0"/>
                <w:numId w:val="4"/>
              </w:numPr>
              <w:adjustRightInd w:val="0"/>
              <w:snapToGrid w:val="0"/>
              <w:ind w:leftChars="0" w:firstLine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練習時やその前後の活動等における適切なマスクの正しい着用、出演者やスタッフの関係者間の適切な距離確保、換気等</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本番及びその前後の活動における出演者やスタッフの感染対策（舞台上等でのマスク着用の有無などに応じた適切な距離の確保、換気、飲食を伴う際の適切な感染対策等）の実施</w:t>
            </w:r>
          </w:p>
          <w:p>
            <w:pPr>
              <w:pStyle w:val="19"/>
              <w:numPr>
                <w:ilvl w:val="0"/>
                <w:numId w:val="3"/>
              </w:numPr>
              <w:adjustRightInd w:val="0"/>
              <w:snapToGrid w:val="0"/>
              <w:ind w:leftChars="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ステージと観客席間の適切な距離の確保、出演者やスタッフ及び観客双方への感染対策の周知</w:t>
            </w:r>
          </w:p>
        </w:tc>
      </w:tr>
    </w:tbl>
    <w:p>
      <w:pPr>
        <w:pStyle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　</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（１）○○○○○○○○○○○</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（２）○○○○○○○○○○○</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w:t>
      </w:r>
    </w:p>
    <w:p>
      <w:pPr>
        <w:pStyle w:val="0"/>
        <w:adjustRightInd w:val="0"/>
        <w:snapToGrid w:val="0"/>
        <w:rPr>
          <w:rFonts w:hint="default" w:ascii="ＭＳ ゴシック" w:hAnsi="ＭＳ ゴシック" w:eastAsia="ＭＳ ゴシック"/>
          <w:color w:val="auto"/>
          <w:sz w:val="28"/>
        </w:rPr>
      </w:pP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（３）○○○○○○○○○○○</w:t>
      </w:r>
    </w:p>
    <w:p>
      <w:pPr>
        <w:pStyle w:val="0"/>
        <w:adjustRightInd w:val="0"/>
        <w:snapToGrid w:val="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　</w:t>
      </w:r>
    </w:p>
    <w:p>
      <w:pPr>
        <w:pStyle w:val="0"/>
        <w:adjustRightInd w:val="0"/>
        <w:snapToGrid w:val="0"/>
        <w:ind w:left="283" w:hanging="283" w:hangingChars="101"/>
        <w:jc w:val="left"/>
        <w:rPr>
          <w:rFonts w:hint="default" w:ascii="ＭＳ ゴシック" w:hAnsi="ＭＳ ゴシック" w:eastAsia="ＭＳ ゴシック"/>
          <w:i w:val="1"/>
          <w:color w:val="auto"/>
          <w:sz w:val="28"/>
        </w:rPr>
      </w:pPr>
      <w:r>
        <w:rPr>
          <w:rFonts w:hint="eastAsia"/>
          <w:color w:val="auto"/>
        </w:rPr>
        <w:br w:type="textWrapping" w:clear="none"/>
      </w:r>
      <w:r>
        <w:rPr>
          <w:rFonts w:hint="eastAsia" w:ascii="ＭＳ ゴシック" w:hAnsi="ＭＳ ゴシック" w:eastAsia="ＭＳ ゴシック"/>
          <w:color w:val="auto"/>
          <w:sz w:val="28"/>
          <w:highlight w:val="none"/>
        </w:rPr>
        <w:t>※提出時には、イベントのチラシや計画書等（既存資料）、参考とした業種別ガイドライン等も添付してください。</w:t>
      </w:r>
      <w:r>
        <w:rPr>
          <w:rFonts w:hint="default" w:ascii="ＭＳ ゴシック" w:hAnsi="ＭＳ ゴシック" w:eastAsia="ＭＳ ゴシック"/>
          <w:i w:val="1"/>
          <w:color w:val="auto"/>
          <w:sz w:val="28"/>
        </w:rPr>
        <w:br w:type="page"/>
      </w:r>
    </w:p>
    <w:p>
      <w:pPr>
        <w:pStyle w:val="0"/>
        <w:snapToGrid w:val="0"/>
        <w:jc w:val="left"/>
        <w:rPr>
          <w:rFonts w:hint="default" w:ascii="ＭＳ ゴシック" w:hAnsi="ＭＳ ゴシック" w:eastAsia="ＭＳ ゴシック"/>
          <w:i w:val="1"/>
          <w:color w:val="auto"/>
          <w:sz w:val="28"/>
        </w:rPr>
      </w:pPr>
      <w:r>
        <w:rPr>
          <w:rFonts w:hint="eastAsia" w:ascii="ＭＳ ゴシック" w:hAnsi="ＭＳ ゴシック" w:eastAsia="ＭＳ ゴシック"/>
          <w:i w:val="1"/>
          <w:color w:val="auto"/>
          <w:sz w:val="28"/>
        </w:rPr>
        <w:t>３～４は、該当する</w:t>
      </w:r>
      <w:r>
        <w:rPr>
          <w:rFonts w:hint="default" w:ascii="ＭＳ ゴシック" w:hAnsi="ＭＳ ゴシック" w:eastAsia="ＭＳ ゴシック"/>
          <w:i w:val="1"/>
          <w:color w:val="auto"/>
          <w:sz w:val="28"/>
        </w:rPr>
        <w:t>場合のみ記載してください</w:t>
      </w:r>
      <w:r>
        <w:rPr>
          <w:rFonts w:hint="eastAsia" w:ascii="ＭＳ ゴシック" w:hAnsi="ＭＳ ゴシック" w:eastAsia="ＭＳ ゴシック"/>
          <w:i w:val="1"/>
          <w:color w:val="auto"/>
          <w:sz w:val="28"/>
        </w:rPr>
        <w:t>。</w:t>
      </w:r>
    </w:p>
    <w:p>
      <w:pPr>
        <w:pStyle w:val="0"/>
        <w:jc w:val="left"/>
        <w:rPr>
          <w:rFonts w:hint="default" w:ascii="ＭＳ ゴシック" w:hAnsi="ＭＳ ゴシック" w:eastAsia="ＭＳ ゴシック"/>
          <w:color w:val="auto"/>
          <w:sz w:val="28"/>
          <w:bdr w:val="single" w:color="auto" w:sz="4" w:space="0"/>
        </w:rPr>
      </w:pPr>
      <w:r>
        <w:rPr>
          <w:rFonts w:hint="eastAsia" w:ascii="ＭＳ ゴシック" w:hAnsi="ＭＳ ゴシック" w:eastAsia="ＭＳ ゴシック"/>
          <w:color w:val="auto"/>
          <w:sz w:val="28"/>
          <w:bdr w:val="single" w:color="auto" w:sz="4" w:space="0"/>
        </w:rPr>
        <w:t>３</w:t>
      </w:r>
      <w:r>
        <w:rPr>
          <w:rFonts w:hint="eastAsia" w:ascii="ＭＳ ゴシック" w:hAnsi="ＭＳ ゴシック" w:eastAsia="ＭＳ ゴシック"/>
          <w:color w:val="auto"/>
          <w:sz w:val="28"/>
          <w:bdr w:val="single" w:color="auto" w:sz="4" w:space="0"/>
        </w:rPr>
        <w:t>.</w:t>
      </w:r>
      <w:r>
        <w:rPr>
          <w:rFonts w:hint="eastAsia" w:ascii="ＭＳ ゴシック" w:hAnsi="ＭＳ ゴシック" w:eastAsia="ＭＳ ゴシック"/>
          <w:color w:val="auto"/>
          <w:sz w:val="28"/>
          <w:bdr w:val="single" w:color="auto" w:sz="4" w:space="0"/>
        </w:rPr>
        <w:t>ワクチン・検査パッケージ制度に関する実施計画　</w:t>
      </w:r>
    </w:p>
    <w:p>
      <w:pPr>
        <w:pStyle w:val="0"/>
        <w:snapToGrid w:val="0"/>
        <w:ind w:left="280" w:hanging="280" w:hangingChars="10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※緊急事態措置の発令時に、人数上限を超えて、収容率１００％での開催をしようとする場合に記載</w:t>
      </w:r>
    </w:p>
    <w:p>
      <w:pPr>
        <w:pStyle w:val="0"/>
        <w:snapToGrid w:val="0"/>
        <w:ind w:left="280" w:hanging="280" w:hangingChars="10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※「新型コロナウイルス感染症対策の基本的対処方針（令和４年１月７日変更）における「対象者に対する全員検査」の取扱いについて」（令和４年１</w:t>
      </w:r>
      <w:r>
        <w:rPr>
          <w:rFonts w:hint="default" w:ascii="ＭＳ ゴシック" w:hAnsi="ＭＳ ゴシック" w:eastAsia="ＭＳ ゴシック"/>
          <w:color w:val="auto"/>
          <w:sz w:val="28"/>
        </w:rPr>
        <w:t xml:space="preserve"> </w:t>
      </w:r>
      <w:r>
        <w:rPr>
          <w:rFonts w:hint="default" w:ascii="ＭＳ ゴシック" w:hAnsi="ＭＳ ゴシック" w:eastAsia="ＭＳ ゴシック"/>
          <w:color w:val="auto"/>
          <w:sz w:val="28"/>
        </w:rPr>
        <w:t>月</w:t>
      </w:r>
      <w:r>
        <w:rPr>
          <w:rFonts w:hint="eastAsia" w:ascii="ＭＳ ゴシック" w:hAnsi="ＭＳ ゴシック" w:eastAsia="ＭＳ ゴシック"/>
          <w:color w:val="auto"/>
          <w:sz w:val="28"/>
        </w:rPr>
        <w:t>７</w:t>
      </w:r>
      <w:r>
        <w:rPr>
          <w:rFonts w:hint="default" w:ascii="ＭＳ ゴシック" w:hAnsi="ＭＳ ゴシック" w:eastAsia="ＭＳ ゴシック"/>
          <w:color w:val="auto"/>
          <w:sz w:val="28"/>
        </w:rPr>
        <w:t>日</w:t>
      </w:r>
      <w:r>
        <w:rPr>
          <w:rFonts w:hint="eastAsia" w:ascii="ＭＳ ゴシック" w:hAnsi="ＭＳ ゴシック" w:eastAsia="ＭＳ ゴシック"/>
          <w:color w:val="auto"/>
          <w:sz w:val="28"/>
        </w:rPr>
        <w:t>付け事務連絡）等を確認の上、下記の項目について、実施の有無をチェックしてください。</w:t>
      </w:r>
    </w:p>
    <w:p>
      <w:pPr>
        <w:pStyle w:val="0"/>
        <w:snapToGrid w:val="0"/>
        <w:jc w:val="left"/>
        <w:rPr>
          <w:rFonts w:hint="default" w:ascii="ＭＳ ゴシック" w:hAnsi="ＭＳ ゴシック" w:eastAsia="ＭＳ ゴシック"/>
          <w:color w:val="auto"/>
          <w:sz w:val="28"/>
        </w:rPr>
      </w:pPr>
    </w:p>
    <w:p>
      <w:pPr>
        <w:pStyle w:val="0"/>
        <w:snapToGrid w:val="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「検査結果」のいずれも対象としている。</w:t>
      </w:r>
    </w:p>
    <w:p>
      <w:pPr>
        <w:pStyle w:val="0"/>
        <w:snapToGrid w:val="0"/>
        <w:jc w:val="left"/>
        <w:rPr>
          <w:rFonts w:hint="default" w:ascii="ＭＳ ゴシック" w:hAnsi="ＭＳ ゴシック" w:eastAsia="ＭＳ ゴシック"/>
          <w:color w:val="auto"/>
          <w:sz w:val="28"/>
        </w:rPr>
      </w:pPr>
    </w:p>
    <w:p>
      <w:pPr>
        <w:pStyle w:val="19"/>
        <w:numPr>
          <w:numId w:val="0"/>
        </w:numPr>
        <w:snapToGrid w:val="0"/>
        <w:ind w:left="0" w:leftChars="0" w:firstLineChars="0"/>
        <w:jc w:val="left"/>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　</w:t>
      </w:r>
      <w:r>
        <w:rPr>
          <w:rFonts w:hint="eastAsia" w:ascii="ＭＳ ゴシック" w:hAnsi="ＭＳ ゴシック" w:eastAsia="ＭＳ ゴシック"/>
          <w:color w:val="auto"/>
          <w:sz w:val="28"/>
          <w:highlight w:val="none"/>
        </w:rPr>
        <w:t>実施を予定している検査の内容について具体的に記載してください。</w:t>
      </w:r>
    </w:p>
    <w:tbl>
      <w:tblPr>
        <w:tblStyle w:val="26"/>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w:t>
            </w:r>
          </w:p>
          <w:p>
            <w:pPr>
              <w:pStyle w:val="19"/>
              <w:snapToGrid w:val="0"/>
              <w:ind w:left="0" w:leftChars="0"/>
              <w:jc w:val="left"/>
              <w:rPr>
                <w:rFonts w:hint="default" w:ascii="ＭＳ ゴシック" w:hAnsi="ＭＳ ゴシック" w:eastAsia="ＭＳ ゴシック"/>
                <w:color w:val="auto"/>
                <w:sz w:val="28"/>
              </w:rPr>
            </w:pPr>
          </w:p>
          <w:p>
            <w:pPr>
              <w:pStyle w:val="19"/>
              <w:snapToGrid w:val="0"/>
              <w:ind w:left="0" w:leftChars="0"/>
              <w:jc w:val="left"/>
              <w:rPr>
                <w:rFonts w:hint="default" w:ascii="ＭＳ ゴシック" w:hAnsi="ＭＳ ゴシック" w:eastAsia="ＭＳ ゴシック"/>
                <w:color w:val="auto"/>
                <w:sz w:val="28"/>
              </w:rPr>
            </w:pPr>
          </w:p>
        </w:tc>
      </w:tr>
    </w:tbl>
    <w:p>
      <w:pPr>
        <w:pStyle w:val="19"/>
        <w:snapToGrid w:val="0"/>
        <w:ind w:left="420" w:leftChars="0"/>
        <w:jc w:val="left"/>
        <w:rPr>
          <w:rFonts w:hint="default" w:ascii="ＭＳ ゴシック" w:hAnsi="ＭＳ ゴシック" w:eastAsia="ＭＳ ゴシック"/>
          <w:color w:val="auto"/>
          <w:sz w:val="28"/>
        </w:rPr>
      </w:pPr>
    </w:p>
    <w:p>
      <w:pPr>
        <w:pStyle w:val="19"/>
        <w:numPr>
          <w:numId w:val="0"/>
        </w:numPr>
        <w:snapToGrid w:val="0"/>
        <w:ind w:left="0" w:leftChars="0" w:firstLineChars="0"/>
        <w:jc w:val="left"/>
        <w:rPr>
          <w:rFonts w:hint="default" w:ascii="ＭＳ ゴシック" w:hAnsi="ＭＳ ゴシック" w:eastAsia="ＭＳ ゴシック"/>
          <w:color w:val="auto"/>
          <w:sz w:val="28"/>
          <w:highlight w:val="none"/>
        </w:rPr>
      </w:pPr>
      <w:r>
        <w:rPr>
          <w:rFonts w:hint="eastAsia" w:ascii="ＭＳ ゴシック" w:hAnsi="ＭＳ ゴシック" w:eastAsia="ＭＳ ゴシック"/>
          <w:color w:val="auto"/>
          <w:sz w:val="28"/>
        </w:rPr>
        <w:t>□　</w:t>
      </w:r>
      <w:r>
        <w:rPr>
          <w:rFonts w:hint="eastAsia" w:ascii="ＭＳ ゴシック" w:hAnsi="ＭＳ ゴシック" w:eastAsia="ＭＳ ゴシック"/>
          <w:color w:val="auto"/>
          <w:sz w:val="28"/>
          <w:highlight w:val="none"/>
        </w:rPr>
        <w:t>「検査結果」の確認方法について具体的に記載してください。</w:t>
      </w:r>
    </w:p>
    <w:tbl>
      <w:tblPr>
        <w:tblStyle w:val="26"/>
        <w:tblW w:w="9322" w:type="dxa"/>
        <w:tblInd w:w="420" w:type="dxa"/>
        <w:tblLayout w:type="fixed"/>
        <w:tblLook w:firstRow="1" w:lastRow="0" w:firstColumn="1" w:lastColumn="0" w:noHBand="0" w:noVBand="1" w:val="04A0"/>
      </w:tblPr>
      <w:tblGrid>
        <w:gridCol w:w="9322"/>
      </w:tblGrid>
      <w:tr>
        <w:trPr/>
        <w:tc>
          <w:tcPr>
            <w:tcW w:w="9742" w:type="dxa"/>
            <w:vAlign w:val="top"/>
          </w:tcPr>
          <w:p>
            <w:pPr>
              <w:pStyle w:val="19"/>
              <w:snapToGrid w:val="0"/>
              <w:ind w:left="0" w:leftChars="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（記載欄）</w:t>
            </w:r>
          </w:p>
          <w:p>
            <w:pPr>
              <w:pStyle w:val="19"/>
              <w:snapToGrid w:val="0"/>
              <w:ind w:left="0" w:leftChars="0"/>
              <w:jc w:val="left"/>
              <w:rPr>
                <w:rFonts w:hint="default" w:ascii="ＭＳ ゴシック" w:hAnsi="ＭＳ ゴシック" w:eastAsia="ＭＳ ゴシック"/>
                <w:color w:val="auto"/>
                <w:sz w:val="28"/>
              </w:rPr>
            </w:pPr>
          </w:p>
          <w:p>
            <w:pPr>
              <w:pStyle w:val="19"/>
              <w:snapToGrid w:val="0"/>
              <w:ind w:left="0" w:leftChars="0"/>
              <w:jc w:val="left"/>
              <w:rPr>
                <w:rFonts w:hint="default" w:ascii="ＭＳ ゴシック" w:hAnsi="ＭＳ ゴシック" w:eastAsia="ＭＳ ゴシック"/>
                <w:color w:val="auto"/>
                <w:sz w:val="28"/>
              </w:rPr>
            </w:pPr>
          </w:p>
        </w:tc>
      </w:tr>
    </w:tbl>
    <w:p>
      <w:pPr>
        <w:pStyle w:val="19"/>
        <w:snapToGrid w:val="0"/>
        <w:ind w:left="420" w:leftChars="0"/>
        <w:jc w:val="left"/>
        <w:rPr>
          <w:rFonts w:hint="default" w:ascii="ＭＳ ゴシック" w:hAnsi="ＭＳ ゴシック" w:eastAsia="ＭＳ ゴシック"/>
          <w:color w:val="auto"/>
          <w:sz w:val="28"/>
        </w:rPr>
      </w:pPr>
    </w:p>
    <w:p>
      <w:pPr>
        <w:pStyle w:val="19"/>
        <w:numPr>
          <w:numId w:val="0"/>
        </w:numPr>
        <w:autoSpaceDE w:val="0"/>
        <w:autoSpaceDN w:val="0"/>
        <w:snapToGrid w:val="0"/>
        <w:ind w:leftChars="0" w:hanging="549" w:hangingChars="196"/>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抗原定性検査を実施する場合には、「ワクチン・検査パッケージにおける抗原定性検査の実施要綱」（令和３年</w:t>
      </w:r>
      <w:r>
        <w:rPr>
          <w:rFonts w:hint="default" w:ascii="ＭＳ ゴシック" w:hAnsi="ＭＳ ゴシック" w:eastAsia="ＭＳ ゴシック"/>
          <w:color w:val="auto"/>
          <w:sz w:val="28"/>
        </w:rPr>
        <w:t>11</w:t>
      </w:r>
      <w:r>
        <w:rPr>
          <w:rFonts w:hint="default" w:ascii="ＭＳ ゴシック" w:hAnsi="ＭＳ ゴシック" w:eastAsia="ＭＳ ゴシック"/>
          <w:color w:val="auto"/>
          <w:sz w:val="28"/>
        </w:rPr>
        <w:t>月</w:t>
      </w:r>
      <w:r>
        <w:rPr>
          <w:rFonts w:hint="default" w:ascii="ＭＳ ゴシック" w:hAnsi="ＭＳ ゴシック" w:eastAsia="ＭＳ ゴシック"/>
          <w:color w:val="auto"/>
          <w:sz w:val="28"/>
        </w:rPr>
        <w:t>19</w:t>
      </w:r>
      <w:r>
        <w:rPr>
          <w:rFonts w:hint="default" w:ascii="ＭＳ ゴシック" w:hAnsi="ＭＳ ゴシック" w:eastAsia="ＭＳ ゴシック"/>
          <w:color w:val="auto"/>
          <w:sz w:val="28"/>
        </w:rPr>
        <w:t>日付け事務連絡）</w:t>
      </w:r>
      <w:r>
        <w:rPr>
          <w:rFonts w:hint="eastAsia" w:ascii="ＭＳ ゴシック" w:hAnsi="ＭＳ ゴシック" w:eastAsia="ＭＳ ゴシック"/>
          <w:color w:val="auto"/>
          <w:sz w:val="28"/>
        </w:rPr>
        <w:t>に従い、適切に実施している。</w:t>
      </w:r>
    </w:p>
    <w:p>
      <w:pPr>
        <w:pStyle w:val="19"/>
        <w:snapToGrid w:val="0"/>
        <w:ind w:left="420" w:leftChars="0"/>
        <w:jc w:val="left"/>
        <w:rPr>
          <w:rFonts w:hint="default" w:ascii="ＭＳ ゴシック" w:hAnsi="ＭＳ ゴシック" w:eastAsia="ＭＳ ゴシック"/>
          <w:color w:val="auto"/>
          <w:sz w:val="28"/>
        </w:rPr>
      </w:pPr>
    </w:p>
    <w:p>
      <w:pPr>
        <w:pStyle w:val="19"/>
        <w:numPr>
          <w:numId w:val="0"/>
        </w:numPr>
        <w:snapToGrid w:val="0"/>
        <w:ind w:leftChars="0" w:hanging="549" w:hangingChars="196"/>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　その他の事項についても、「ワクチン・検査パッケージ制度要綱」に従い、適切に実施している。</w:t>
      </w:r>
    </w:p>
    <w:p>
      <w:pPr>
        <w:pStyle w:val="0"/>
        <w:snapToGrid w:val="0"/>
        <w:jc w:val="left"/>
        <w:rPr>
          <w:rFonts w:hint="default" w:ascii="ＭＳ ゴシック" w:hAnsi="ＭＳ ゴシック" w:eastAsia="ＭＳ ゴシック"/>
          <w:color w:val="auto"/>
          <w:sz w:val="28"/>
        </w:rPr>
      </w:pPr>
    </w:p>
    <w:p>
      <w:pPr>
        <w:pStyle w:val="0"/>
        <w:snapToGrid w:val="0"/>
        <w:jc w:val="left"/>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bdr w:val="single" w:color="auto" w:sz="4" w:space="0"/>
        </w:rPr>
        <w:t>４</w:t>
      </w:r>
      <w:r>
        <w:rPr>
          <w:rFonts w:hint="eastAsia" w:ascii="ＭＳ ゴシック" w:hAnsi="ＭＳ ゴシック" w:eastAsia="ＭＳ ゴシック"/>
          <w:color w:val="auto"/>
          <w:sz w:val="28"/>
          <w:bdr w:val="single" w:color="auto" w:sz="4" w:space="0"/>
        </w:rPr>
        <w:t>.</w:t>
      </w:r>
      <w:r>
        <w:rPr>
          <w:rFonts w:hint="eastAsia" w:ascii="ＭＳ ゴシック" w:hAnsi="ＭＳ ゴシック" w:eastAsia="ＭＳ ゴシック"/>
          <w:color w:val="auto"/>
          <w:sz w:val="28"/>
          <w:bdr w:val="single" w:color="auto" w:sz="4" w:space="0"/>
        </w:rPr>
        <w:t>専門家との調整状況　</w:t>
      </w:r>
      <w:r>
        <w:rPr>
          <w:rFonts w:hint="eastAsia" w:ascii="ＭＳ ゴシック" w:hAnsi="ＭＳ ゴシック" w:eastAsia="ＭＳ ゴシック"/>
          <w:color w:val="auto"/>
          <w:sz w:val="28"/>
        </w:rPr>
        <w:t>　　※専門家の事前確認を受けた場合に記載</w:t>
      </w:r>
    </w:p>
    <w:p>
      <w:pPr>
        <w:pStyle w:val="0"/>
        <w:snapToGrid w:val="0"/>
        <w:spacing w:before="240" w:beforeLines="0" w:beforeAutospacing="0"/>
        <w:ind w:firstLine="560" w:firstLineChars="200"/>
        <w:rPr>
          <w:rFonts w:hint="default" w:ascii="ＭＳ ゴシック" w:hAnsi="ＭＳ ゴシック" w:eastAsia="ＭＳ ゴシック"/>
          <w:color w:val="auto"/>
          <w:sz w:val="28"/>
        </w:rPr>
      </w:pPr>
      <w:r>
        <w:rPr>
          <w:rFonts w:hint="eastAsia" w:ascii="ＭＳ ゴシック" w:hAnsi="ＭＳ ゴシック" w:eastAsia="ＭＳ ゴシック"/>
          <w:color w:val="auto"/>
          <w:sz w:val="28"/>
        </w:rPr>
        <w:t>助言を受けた専門家：（所属）</w:t>
      </w:r>
      <w:r>
        <w:rPr>
          <w:rFonts w:hint="default" w:ascii="ＭＳ ゴシック" w:hAnsi="ＭＳ ゴシック" w:eastAsia="ＭＳ ゴシック"/>
          <w:color w:val="auto"/>
          <w:sz w:val="28"/>
        </w:rPr>
        <w:br w:type="textWrapping" w:clear="none"/>
      </w:r>
      <w:r>
        <w:rPr>
          <w:rFonts w:hint="eastAsia" w:ascii="ＭＳ ゴシック" w:hAnsi="ＭＳ ゴシック" w:eastAsia="ＭＳ ゴシック"/>
          <w:color w:val="auto"/>
          <w:sz w:val="28"/>
        </w:rPr>
        <w:t>　　　　　　　　　</w:t>
      </w:r>
      <w:r>
        <w:rPr>
          <w:rFonts w:hint="eastAsia" w:ascii="ＭＳ ゴシック" w:hAnsi="ＭＳ ゴシック" w:eastAsia="ＭＳ ゴシック"/>
          <w:color w:val="auto"/>
          <w:sz w:val="28"/>
        </w:rPr>
        <w:t xml:space="preserve">     </w:t>
      </w:r>
      <w:r>
        <w:rPr>
          <w:rFonts w:hint="eastAsia" w:ascii="ＭＳ ゴシック" w:hAnsi="ＭＳ ゴシック" w:eastAsia="ＭＳ ゴシック"/>
          <w:color w:val="auto"/>
          <w:sz w:val="28"/>
        </w:rPr>
        <w:t>（氏名）</w:t>
      </w:r>
      <w:r>
        <w:rPr>
          <w:rFonts w:hint="default" w:ascii="ＭＳ ゴシック" w:hAnsi="ＭＳ ゴシック" w:eastAsia="ＭＳ ゴシック"/>
          <w:color w:val="auto"/>
          <w:sz w:val="28"/>
        </w:rPr>
        <w:br w:type="textWrapping" w:clear="none"/>
      </w:r>
      <w:r>
        <w:rPr>
          <w:rFonts w:hint="default" w:ascii="ＭＳ ゴシック" w:hAnsi="ＭＳ ゴシック" w:eastAsia="ＭＳ ゴシック"/>
          <w:color w:val="auto"/>
          <w:sz w:val="28"/>
        </w:rPr>
        <w:t xml:space="preserve">    </w:t>
      </w:r>
      <w:r>
        <w:rPr>
          <w:rFonts w:hint="eastAsia" w:ascii="ＭＳ ゴシック" w:hAnsi="ＭＳ ゴシック" w:eastAsia="ＭＳ ゴシック"/>
          <w:color w:val="auto"/>
          <w:sz w:val="28"/>
        </w:rPr>
        <w:t>主な助言内容：</w:t>
      </w:r>
    </w:p>
    <w:sectPr>
      <w:pgSz w:w="11906" w:h="16838"/>
      <w:pgMar w:top="1440" w:right="1077" w:bottom="1440"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ゴシック体S">
    <w:panose1 w:val="00000000000000000000"/>
    <w:charset w:val="80"/>
    <w:family w:val="modern"/>
    <w:notTrueType/>
    <w:pitch w:val="variable"/>
    <w:sig w:usb0="00000000" w:usb1="00000000" w:usb2="00000000" w:usb3="00000000" w:csb0="01008200" w:csb1="00000000"/>
  </w:font>
  <w:font w:name="ＤＨＰ平成ゴシックW5">
    <w:panose1 w:val="00000000000000000000"/>
    <w:charset w:val="80"/>
    <w:family w:val="modern"/>
    <w:notTrueType/>
    <w:pitch w:val="variable"/>
    <w:sig w:usb0="00000000" w:usb1="00000000" w:usb2="00000000" w:usb3="00000000" w:csb0="01008200" w:csb1="00000000"/>
  </w:font>
  <w:font w:name="ＭＳg.">
    <w:panose1 w:val="00000000000000000000"/>
    <w:charset w:val="80"/>
    <w:family w:val="swiss"/>
    <w:notTrueType/>
    <w:pitch w:val="fixed"/>
    <w:sig w:usb0="00000000" w:usb1="00000000" w:usb2="00000000" w:usb3="00000000" w:csb0="00000000" w:csb1="00000000"/>
  </w:font>
  <w:font w:name="UD デジタル 教科書体 NK-B">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ＭＳ ゴシック" w:hAnsi="ＭＳ ゴシック" w:eastAsia="ＭＳ ゴシック"/>
      </w:rPr>
    </w:pPr>
    <w:r>
      <w:rPr>
        <w:rFonts w:hint="eastAsia" w:ascii="ＭＳ ゴシック" w:hAnsi="ＭＳ ゴシック" w:eastAsia="ＭＳ ゴシック"/>
        <w:sz w:val="21"/>
      </w:rPr>
      <w:t xml:space="preserve">- </w:t>
    </w:r>
    <w:sdt>
      <w:sdtPr>
        <w:rPr>
          <w:rFonts w:hint="eastAsia" w:ascii="ＭＳ ゴシック" w:hAnsi="ＭＳ ゴシック" w:eastAsia="ＭＳ ゴシック"/>
          <w:sz w:val="21"/>
        </w:rPr>
        <w:alias w:val=""/>
        <w:tag w:val=""/>
        <w:lock w:val="unlocked"/>
        <w:docPartObj>
          <w:docPartGallery w:val="Page Numbers (Bottom of Page)"/>
          <w:docPartUnique/>
        </w:docPartObj>
      </w:sdtPr>
      <w:sdtEndPr>
        <w:rPr>
          <w:rFonts w:hint="eastAsia" w:ascii="ＭＳ ゴシック" w:hAnsi="ＭＳ ゴシック" w:eastAsia="ＭＳ ゴシック"/>
          <w:sz w:val="21"/>
        </w:rPr>
      </w:sdtEndPr>
      <w:sdtContent>
        <w:r>
          <w:rPr>
            <w:rFonts w:hint="eastAsia"/>
          </w:rPr>
          <w:fldChar w:fldCharType="begin"/>
        </w:r>
        <w:r>
          <w:rPr>
            <w:rFonts w:hint="eastAsia"/>
          </w:rPr>
          <w:instrText xml:space="preserve">PAGE  \* MERGEFORMAT </w:instrText>
        </w:r>
        <w:r>
          <w:rPr>
            <w:rFonts w:hint="eastAsia"/>
          </w:rPr>
          <w:fldChar w:fldCharType="separate"/>
        </w:r>
        <w:r>
          <w:rPr>
            <w:rStyle w:val="25"/>
            <w:rFonts w:hint="eastAsia" w:ascii="ＭＳ ゴシック" w:hAnsi="ＭＳ ゴシック" w:eastAsia="ＭＳ ゴシック"/>
            <w:sz w:val="21"/>
          </w:rPr>
          <w:t>2</w:t>
        </w:r>
        <w:r>
          <w:rPr>
            <w:rFonts w:hint="eastAsia"/>
          </w:rPr>
          <w:fldChar w:fldCharType="end"/>
        </w:r>
        <w:r>
          <w:rPr>
            <w:rFonts w:hint="eastAsia" w:ascii="ＭＳ ゴシック" w:hAnsi="ＭＳ ゴシック" w:eastAsia="ＭＳ ゴシック"/>
            <w:sz w:val="21"/>
          </w:rPr>
          <w:t xml:space="preserve"> -</w:t>
        </w:r>
      </w:sdtContent>
    </w:sdt>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AB83EB6"/>
    <w:lvl w:ilvl="0" w:tplc="0409000B">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43987B86"/>
    <w:lvl w:ilvl="0" w:tplc="04090001">
      <w:numFmt w:val="bullet"/>
      <w:lvlText w:val=""/>
      <w:lvlJc w:val="left"/>
      <w:pPr>
        <w:ind w:left="705" w:hanging="420"/>
      </w:pPr>
      <w:rPr>
        <w:rFonts w:hint="default" w:ascii="Wingdings" w:hAnsi="Wingdings"/>
      </w:rPr>
    </w:lvl>
    <w:lvl w:ilvl="1" w:tplc="3108527E">
      <w:numFmt w:val="bullet"/>
      <w:lvlText w:val="□"/>
      <w:lvlJc w:val="left"/>
      <w:pPr>
        <w:ind w:left="1065" w:hanging="360"/>
      </w:pPr>
      <w:rPr>
        <w:rFonts w:hint="eastAsia" w:ascii="ＭＳ ゴシック" w:hAnsi="ＭＳ ゴシック" w:eastAsia="ＭＳ ゴシック"/>
      </w:rPr>
    </w:lvl>
    <w:lvl w:ilvl="2" w:tplc="0409000D">
      <w:numFmt w:val="bullet"/>
      <w:lvlText w:val=""/>
      <w:lvlJc w:val="left"/>
      <w:pPr>
        <w:ind w:left="1545" w:hanging="420"/>
      </w:pPr>
      <w:rPr>
        <w:rFonts w:hint="default" w:ascii="Wingdings" w:hAnsi="Wingdings"/>
      </w:rPr>
    </w:lvl>
    <w:lvl w:ilvl="3" w:tplc="04090001">
      <w:numFmt w:val="bullet"/>
      <w:lvlText w:val=""/>
      <w:lvlJc w:val="left"/>
      <w:pPr>
        <w:ind w:left="1965" w:hanging="420"/>
      </w:pPr>
      <w:rPr>
        <w:rFonts w:hint="default" w:ascii="Wingdings" w:hAnsi="Wingdings"/>
      </w:rPr>
    </w:lvl>
    <w:lvl w:ilvl="4" w:tplc="0409000B">
      <w:numFmt w:val="bullet"/>
      <w:lvlText w:val=""/>
      <w:lvlJc w:val="left"/>
      <w:pPr>
        <w:ind w:left="2385" w:hanging="420"/>
      </w:pPr>
      <w:rPr>
        <w:rFonts w:hint="default" w:ascii="Wingdings" w:hAnsi="Wingdings"/>
      </w:rPr>
    </w:lvl>
    <w:lvl w:ilvl="5" w:tplc="0409000D">
      <w:numFmt w:val="bullet"/>
      <w:lvlText w:val=""/>
      <w:lvlJc w:val="left"/>
      <w:pPr>
        <w:ind w:left="2805" w:hanging="420"/>
      </w:pPr>
      <w:rPr>
        <w:rFonts w:hint="default" w:ascii="Wingdings" w:hAnsi="Wingdings"/>
      </w:rPr>
    </w:lvl>
    <w:lvl w:ilvl="6" w:tplc="04090001">
      <w:numFmt w:val="bullet"/>
      <w:lvlText w:val=""/>
      <w:lvlJc w:val="left"/>
      <w:pPr>
        <w:ind w:left="3225" w:hanging="420"/>
      </w:pPr>
      <w:rPr>
        <w:rFonts w:hint="default" w:ascii="Wingdings" w:hAnsi="Wingdings"/>
      </w:rPr>
    </w:lvl>
    <w:lvl w:ilvl="7" w:tplc="0409000B">
      <w:numFmt w:val="bullet"/>
      <w:lvlText w:val=""/>
      <w:lvlJc w:val="left"/>
      <w:pPr>
        <w:ind w:left="3645" w:hanging="420"/>
      </w:pPr>
      <w:rPr>
        <w:rFonts w:hint="default" w:ascii="Wingdings" w:hAnsi="Wingdings"/>
      </w:rPr>
    </w:lvl>
    <w:lvl w:ilvl="8" w:tplc="0409000D">
      <w:numFmt w:val="bullet"/>
      <w:lvlText w:val=""/>
      <w:lvlJc w:val="left"/>
      <w:pPr>
        <w:ind w:left="4065" w:hanging="420"/>
      </w:pPr>
      <w:rPr>
        <w:rFonts w:hint="default" w:ascii="Wingdings" w:hAnsi="Wingdings"/>
      </w:rPr>
    </w:lvl>
  </w:abstractNum>
  <w:abstractNum w:abstractNumId="2">
    <w:nsid w:val="00000003"/>
    <w:multiLevelType w:val="hybridMultilevel"/>
    <w:tmpl w:val="EB7473CE"/>
    <w:lvl w:ilvl="0" w:tplc="0409000B">
      <w:numFmt w:val="bullet"/>
      <w:lvlText w:val=""/>
      <w:lvlJc w:val="left"/>
      <w:pPr>
        <w:ind w:left="420" w:hanging="420"/>
      </w:pPr>
      <w:rPr>
        <w:rFonts w:hint="default" w:ascii="Wingdings" w:hAnsi="Wingdings"/>
      </w:rPr>
    </w:lvl>
    <w:lvl w:ilvl="1" w:tplc="4266A27E">
      <w:numFmt w:val="bullet"/>
      <w:lvlText w:val="・"/>
      <w:lvlJc w:val="left"/>
      <w:pPr>
        <w:ind w:left="780" w:hanging="360"/>
      </w:pPr>
      <w:rPr>
        <w:rFonts w:hint="eastAsia" w:ascii="ＭＳ ゴシック" w:hAnsi="ＭＳ ゴシック" w:eastAsia="ＭＳ ゴシック"/>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3">
    <w:nsid w:val="00000004"/>
    <w:multiLevelType w:val="hybridMultilevel"/>
    <w:tmpl w:val="2F1A86F0"/>
    <w:lvl w:ilvl="0" w:tplc="04090001">
      <w:numFmt w:val="bullet"/>
      <w:lvlText w:val=""/>
      <w:lvlJc w:val="left"/>
      <w:pPr>
        <w:ind w:left="700" w:hanging="420"/>
      </w:pPr>
      <w:rPr>
        <w:rFonts w:hint="default" w:ascii="Wingdings" w:hAnsi="Wingdings"/>
      </w:rPr>
    </w:lvl>
    <w:lvl w:ilvl="1" w:tplc="0409000B">
      <w:numFmt w:val="bullet"/>
      <w:lvlText w:val=""/>
      <w:lvlJc w:val="left"/>
      <w:pPr>
        <w:ind w:left="1120" w:hanging="420"/>
      </w:pPr>
      <w:rPr>
        <w:rFonts w:hint="default" w:ascii="Wingdings" w:hAnsi="Wingdings"/>
      </w:rPr>
    </w:lvl>
    <w:lvl w:ilvl="2" w:tplc="0409000D">
      <w:numFmt w:val="bullet"/>
      <w:lvlText w:val=""/>
      <w:lvlJc w:val="left"/>
      <w:pPr>
        <w:ind w:left="1540" w:hanging="420"/>
      </w:pPr>
      <w:rPr>
        <w:rFonts w:hint="default" w:ascii="Wingdings" w:hAnsi="Wingdings"/>
      </w:rPr>
    </w:lvl>
    <w:lvl w:ilvl="3" w:tplc="04090001">
      <w:numFmt w:val="bullet"/>
      <w:lvlText w:val=""/>
      <w:lvlJc w:val="left"/>
      <w:pPr>
        <w:ind w:left="1960" w:hanging="420"/>
      </w:pPr>
      <w:rPr>
        <w:rFonts w:hint="default" w:ascii="Wingdings" w:hAnsi="Wingdings"/>
      </w:rPr>
    </w:lvl>
    <w:lvl w:ilvl="4" w:tplc="0409000B">
      <w:numFmt w:val="bullet"/>
      <w:lvlText w:val=""/>
      <w:lvlJc w:val="left"/>
      <w:pPr>
        <w:ind w:left="2380" w:hanging="420"/>
      </w:pPr>
      <w:rPr>
        <w:rFonts w:hint="default" w:ascii="Wingdings" w:hAnsi="Wingdings"/>
      </w:rPr>
    </w:lvl>
    <w:lvl w:ilvl="5" w:tplc="0409000D">
      <w:numFmt w:val="bullet"/>
      <w:lvlText w:val=""/>
      <w:lvlJc w:val="left"/>
      <w:pPr>
        <w:ind w:left="2800" w:hanging="420"/>
      </w:pPr>
      <w:rPr>
        <w:rFonts w:hint="default" w:ascii="Wingdings" w:hAnsi="Wingdings"/>
      </w:rPr>
    </w:lvl>
    <w:lvl w:ilvl="6" w:tplc="04090001">
      <w:numFmt w:val="bullet"/>
      <w:lvlText w:val=""/>
      <w:lvlJc w:val="left"/>
      <w:pPr>
        <w:ind w:left="3220" w:hanging="420"/>
      </w:pPr>
      <w:rPr>
        <w:rFonts w:hint="default" w:ascii="Wingdings" w:hAnsi="Wingdings"/>
      </w:rPr>
    </w:lvl>
    <w:lvl w:ilvl="7" w:tplc="0409000B">
      <w:numFmt w:val="bullet"/>
      <w:lvlText w:val=""/>
      <w:lvlJc w:val="left"/>
      <w:pPr>
        <w:ind w:left="3640" w:hanging="420"/>
      </w:pPr>
      <w:rPr>
        <w:rFonts w:hint="default" w:ascii="Wingdings" w:hAnsi="Wingdings"/>
      </w:rPr>
    </w:lvl>
    <w:lvl w:ilvl="8" w:tplc="0409000D">
      <w:numFmt w:val="bullet"/>
      <w:lvlText w:val=""/>
      <w:lvlJc w:val="left"/>
      <w:pPr>
        <w:ind w:left="4060" w:hanging="420"/>
      </w:pPr>
      <w:rPr>
        <w:rFonts w:hint="default"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character" w:styleId="25">
    <w:name w:val="page number"/>
    <w:basedOn w:val="10"/>
    <w:next w:val="25"/>
    <w:link w:val="0"/>
    <w:uiPriority w:val="0"/>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655</TotalTime>
  <Pages>10</Pages>
  <Words>12</Words>
  <Characters>4461</Characters>
  <Application>JUST Note</Application>
  <Lines>959</Lines>
  <Paragraphs>197</Paragraphs>
  <Company>内閣府</Company>
  <CharactersWithSpaces>4647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内閣官房</dc:creator>
  <cp:lastModifiedBy>佐藤　光成</cp:lastModifiedBy>
  <cp:lastPrinted>2022-10-03T00:02:21Z</cp:lastPrinted>
  <dcterms:created xsi:type="dcterms:W3CDTF">2021-11-01T10:29:00Z</dcterms:created>
  <dcterms:modified xsi:type="dcterms:W3CDTF">2022-09-09T05:27:39Z</dcterms:modified>
  <cp:revision>37</cp:revision>
</cp:coreProperties>
</file>