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textAlignment w:val="baseline"/>
        <w:rPr>
          <w:rFonts w:hint="eastAsia" w:ascii="ＭＳ 明朝" w:hAnsi="ＭＳ 明朝"/>
          <w:color w:val="000000"/>
          <w:kern w:val="0"/>
          <w:sz w:val="24"/>
        </w:rPr>
      </w:pPr>
      <w:bookmarkStart w:id="0" w:name="_GoBack"/>
      <w:bookmarkEnd w:id="0"/>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r>
        <w:rPr>
          <w:rFonts w:hint="eastAsia" w:ascii="ＭＳ ゴシック" w:hAnsi="ＭＳ ゴシック" w:eastAsia="ＭＳ ゴシック"/>
          <w:color w:val="000000"/>
          <w:spacing w:val="12"/>
          <w:kern w:val="0"/>
          <w:sz w:val="40"/>
        </w:rPr>
        <w:t>２０２０</w:t>
      </w:r>
      <w:r>
        <w:rPr>
          <w:rFonts w:hint="eastAsia" w:ascii="ＭＳ ゴシック" w:hAnsi="ＭＳ ゴシック" w:eastAsia="ＭＳ ゴシック"/>
          <w:color w:val="000000"/>
          <w:spacing w:val="6"/>
          <w:kern w:val="0"/>
          <w:sz w:val="40"/>
        </w:rPr>
        <w:t>年農林業センサス</w:t>
      </w:r>
    </w:p>
    <w:p>
      <w:pPr>
        <w:pStyle w:val="0"/>
        <w:overflowPunct w:val="0"/>
        <w:adjustRightInd w:val="0"/>
        <w:jc w:val="center"/>
        <w:textAlignment w:val="baseline"/>
        <w:rPr>
          <w:rFonts w:hint="default"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r>
        <w:rPr>
          <w:rFonts w:hint="eastAsia" w:ascii="ＭＳ 明朝" w:hAnsi="ＭＳ 明朝" w:eastAsia="ＭＳ ゴシック"/>
          <w:color w:val="000000"/>
          <w:spacing w:val="6"/>
          <w:kern w:val="0"/>
          <w:sz w:val="40"/>
        </w:rPr>
        <w:t>農林業経営体調査</w:t>
      </w:r>
      <w:r>
        <w:rPr>
          <w:rFonts w:hint="default" w:ascii="ＭＳ ゴシック" w:hAnsi="ＭＳ ゴシック"/>
          <w:color w:val="000000"/>
          <w:spacing w:val="12"/>
          <w:kern w:val="0"/>
          <w:sz w:val="40"/>
        </w:rPr>
        <w:t xml:space="preserve"> </w:t>
      </w:r>
      <w:r>
        <w:rPr>
          <w:rFonts w:hint="eastAsia" w:ascii="ＭＳ 明朝" w:hAnsi="ＭＳ 明朝" w:eastAsia="ＭＳ ゴシック"/>
          <w:color w:val="000000"/>
          <w:spacing w:val="6"/>
          <w:kern w:val="0"/>
          <w:sz w:val="40"/>
        </w:rPr>
        <w:t>秋田県結果</w:t>
      </w:r>
      <w:r>
        <w:rPr>
          <w:rFonts w:hint="eastAsia" w:ascii="ＭＳ 明朝" w:hAnsi="ＭＳ 明朝" w:eastAsia="ＭＳ ゴシック"/>
          <w:color w:val="000000"/>
          <w:spacing w:val="6"/>
          <w:kern w:val="0"/>
          <w:sz w:val="40"/>
        </w:rPr>
        <w:t xml:space="preserve"> </w:t>
      </w:r>
      <w:r>
        <w:rPr>
          <w:rFonts w:hint="default" w:ascii="ＭＳ ゴシック" w:hAnsi="ＭＳ ゴシック"/>
          <w:color w:val="000000"/>
          <w:spacing w:val="12"/>
          <w:kern w:val="0"/>
          <w:sz w:val="40"/>
        </w:rPr>
        <w:t>(</w:t>
      </w:r>
      <w:r>
        <w:rPr>
          <w:rFonts w:hint="eastAsia" w:ascii="ＭＳ 明朝" w:hAnsi="ＭＳ 明朝" w:eastAsia="ＭＳ ゴシック"/>
          <w:color w:val="000000"/>
          <w:spacing w:val="6"/>
          <w:kern w:val="0"/>
          <w:sz w:val="40"/>
        </w:rPr>
        <w:t>確定値</w:t>
      </w:r>
      <w:r>
        <w:rPr>
          <w:rFonts w:hint="default" w:ascii="ＭＳ ゴシック" w:hAnsi="ＭＳ ゴシック"/>
          <w:color w:val="000000"/>
          <w:spacing w:val="12"/>
          <w:kern w:val="0"/>
          <w:sz w:val="40"/>
        </w:rPr>
        <w:t>)</w:t>
      </w:r>
    </w:p>
    <w:p>
      <w:pPr>
        <w:pStyle w:val="0"/>
        <w:overflowPunct w:val="0"/>
        <w:adjustRightInd w:val="0"/>
        <w:jc w:val="center"/>
        <w:textAlignment w:val="baseline"/>
        <w:rPr>
          <w:rFonts w:hint="default"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r>
        <w:rPr>
          <w:rFonts w:hint="eastAsia" w:ascii="ＭＳ 明朝" w:hAnsi="ＭＳ 明朝" w:eastAsia="ＭＳ ゴシック"/>
          <w:color w:val="000000"/>
          <w:spacing w:val="6"/>
          <w:kern w:val="0"/>
          <w:sz w:val="40"/>
        </w:rPr>
        <w:t>（</w:t>
      </w:r>
      <w:r>
        <w:rPr>
          <w:rFonts w:hint="default" w:ascii="ＭＳ ゴシック" w:hAnsi="ＭＳ ゴシック"/>
          <w:color w:val="000000"/>
          <w:spacing w:val="12"/>
          <w:kern w:val="0"/>
          <w:sz w:val="40"/>
        </w:rPr>
        <w:t xml:space="preserve"> </w:t>
      </w:r>
      <w:r>
        <w:rPr>
          <w:rFonts w:hint="eastAsia" w:ascii="ＭＳ 明朝" w:hAnsi="ＭＳ 明朝" w:eastAsia="ＭＳ ゴシック"/>
          <w:color w:val="000000"/>
          <w:spacing w:val="6"/>
          <w:kern w:val="0"/>
          <w:sz w:val="40"/>
        </w:rPr>
        <w:t>令和２年２月１日現在</w:t>
      </w:r>
      <w:r>
        <w:rPr>
          <w:rFonts w:hint="default" w:ascii="ＭＳ ゴシック" w:hAnsi="ＭＳ ゴシック"/>
          <w:color w:val="000000"/>
          <w:spacing w:val="12"/>
          <w:kern w:val="0"/>
          <w:sz w:val="40"/>
        </w:rPr>
        <w:t xml:space="preserve"> </w:t>
      </w:r>
      <w:r>
        <w:rPr>
          <w:rFonts w:hint="eastAsia" w:ascii="ＭＳ 明朝" w:hAnsi="ＭＳ 明朝" w:eastAsia="ＭＳ ゴシック"/>
          <w:color w:val="000000"/>
          <w:spacing w:val="6"/>
          <w:kern w:val="0"/>
          <w:sz w:val="40"/>
        </w:rPr>
        <w:t>）</w:t>
      </w: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r>
        <w:rPr>
          <w:rFonts w:hint="eastAsia" w:ascii="ＭＳ 明朝" w:hAnsi="ＭＳ 明朝"/>
          <w:color w:val="000000"/>
          <w:spacing w:val="2"/>
          <w:kern w:val="0"/>
          <w:sz w:val="22"/>
        </w:rPr>
        <w:t>　　　　　　　　　　　　　　</w:t>
      </w:r>
      <w:r>
        <w:rPr>
          <w:rFonts w:hint="default" w:ascii="ＭＳ 明朝" w:hAnsi="ＭＳ 明朝"/>
          <w:color w:val="000000"/>
          <w:spacing w:val="2"/>
          <w:kern w:val="0"/>
          <w:sz w:val="22"/>
        </w:rPr>
        <w:drawing>
          <wp:inline>
            <wp:extent cx="1998345" cy="224282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10"/>
                    <a:stretch>
                      <a:fillRect/>
                    </a:stretch>
                  </pic:blipFill>
                  <pic:spPr>
                    <a:xfrm>
                      <a:off x="0" y="0"/>
                      <a:ext cx="1998345" cy="2242820"/>
                    </a:xfrm>
                    <a:prstGeom prst="rect">
                      <a:avLst/>
                    </a:prstGeom>
                    <a:noFill/>
                    <a:ln>
                      <a:miter/>
                    </a:ln>
                  </pic:spPr>
                </pic:pic>
              </a:graphicData>
            </a:graphic>
          </wp:inline>
        </w:drawing>
      </w: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r>
        <w:rPr>
          <w:rFonts w:hint="eastAsia" w:ascii="ＭＳ 明朝" w:hAnsi="ＭＳ 明朝"/>
          <w:color w:val="000000"/>
          <w:spacing w:val="4"/>
          <w:kern w:val="0"/>
          <w:sz w:val="28"/>
        </w:rPr>
        <w:t>　　　　　　　　　　　　　　　　　　</w:t>
      </w:r>
      <w:r>
        <w:rPr>
          <w:rFonts w:hint="eastAsia" w:ascii="ＭＳ 明朝" w:hAnsi="ＭＳ 明朝"/>
          <w:color w:val="000000"/>
          <w:spacing w:val="4"/>
          <w:kern w:val="0"/>
          <w:sz w:val="28"/>
        </w:rPr>
        <w:t xml:space="preserve"> </w:t>
      </w:r>
      <w:r>
        <w:rPr>
          <w:rFonts w:hint="default" w:ascii="ＭＳ 明朝" w:hAnsi="ＭＳ 明朝"/>
          <w:color w:val="000000"/>
          <w:spacing w:val="10"/>
          <w:kern w:val="0"/>
          <w:sz w:val="28"/>
        </w:rPr>
        <w:t xml:space="preserve"> </w:t>
      </w:r>
      <w:r>
        <w:rPr>
          <w:rFonts w:hint="eastAsia" w:ascii="ＭＳ 明朝" w:hAnsi="ＭＳ 明朝"/>
          <w:color w:val="000000"/>
          <w:spacing w:val="4"/>
          <w:kern w:val="0"/>
          <w:sz w:val="28"/>
        </w:rPr>
        <w:t>秋田県企画振興部</w:t>
      </w:r>
      <w:r>
        <w:rPr>
          <w:rFonts w:hint="eastAsia" w:ascii="ＭＳ 明朝" w:hAnsi="ＭＳ 明朝"/>
          <w:color w:val="000000"/>
          <w:spacing w:val="4"/>
          <w:kern w:val="0"/>
          <w:sz w:val="28"/>
        </w:rPr>
        <w:t xml:space="preserve"> </w:t>
      </w:r>
      <w:r>
        <w:rPr>
          <w:rFonts w:hint="eastAsia" w:ascii="ＭＳ 明朝" w:hAnsi="ＭＳ 明朝"/>
          <w:color w:val="000000"/>
          <w:spacing w:val="4"/>
          <w:kern w:val="0"/>
          <w:sz w:val="28"/>
        </w:rPr>
        <w:t>調査統計課</w:t>
      </w: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ind w:firstLine="4124" w:firstLineChars="1666"/>
        <w:textAlignment w:val="baseline"/>
        <w:rPr>
          <w:rFonts w:hint="default" w:ascii="ＭＳ 明朝" w:hAnsi="ＭＳ 明朝"/>
          <w:color w:val="000000"/>
          <w:spacing w:val="2"/>
          <w:kern w:val="0"/>
          <w:sz w:val="22"/>
        </w:rPr>
      </w:pPr>
      <w:r>
        <w:rPr>
          <w:rFonts w:hint="eastAsia" w:ascii="ＭＳ 明朝" w:hAnsi="ＭＳ 明朝"/>
          <w:color w:val="000000"/>
          <w:spacing w:val="4"/>
          <w:kern w:val="0"/>
          <w:sz w:val="24"/>
        </w:rPr>
        <w:t>目　　　　次</w:t>
      </w: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ind w:left="0" w:leftChars="0" w:firstLine="1344" w:firstLineChars="600"/>
        <w:textAlignment w:val="baseline"/>
        <w:rPr>
          <w:rFonts w:hint="eastAsia" w:ascii="ＭＳ 明朝" w:hAnsi="ＭＳ 明朝"/>
          <w:spacing w:val="2"/>
          <w:kern w:val="0"/>
          <w:sz w:val="22"/>
        </w:rPr>
      </w:pPr>
      <w:r>
        <w:rPr>
          <w:rFonts w:hint="eastAsia" w:ascii="ＭＳ 明朝" w:hAnsi="ＭＳ 明朝"/>
          <w:spacing w:val="2"/>
          <w:kern w:val="0"/>
          <w:sz w:val="22"/>
        </w:rPr>
        <w:t>　　　　　　　　　　　　　　　　　　　　　　　　　　　　　　　　　ページ</w:t>
      </w:r>
    </w:p>
    <w:p>
      <w:pPr>
        <w:pStyle w:val="0"/>
        <w:overflowPunct w:val="0"/>
        <w:adjustRightInd w:val="0"/>
        <w:textAlignment w:val="baseline"/>
        <w:rPr>
          <w:rFonts w:hint="default" w:ascii="ＭＳ 明朝" w:hAnsi="ＭＳ 明朝"/>
          <w:spacing w:val="2"/>
          <w:kern w:val="0"/>
          <w:sz w:val="22"/>
        </w:rPr>
      </w:pPr>
      <w:r>
        <w:rPr>
          <w:rFonts w:hint="eastAsia" w:ascii="Times New Roman" w:hAnsi="Times New Roman"/>
          <w:kern w:val="0"/>
          <w:sz w:val="22"/>
        </w:rPr>
        <w:t>Ⅰ　はじめに　・</w:t>
      </w:r>
      <w:r>
        <w:rPr>
          <w:rFonts w:hint="eastAsia" w:ascii="ＭＳ 明朝" w:hAnsi="ＭＳ 明朝"/>
          <w:kern w:val="0"/>
          <w:sz w:val="22"/>
        </w:rPr>
        <w:t>・・・・・・・・・・・・・・・・・・・・・・・・・・・・・・・　　１</w:t>
      </w:r>
    </w:p>
    <w:p>
      <w:pPr>
        <w:pStyle w:val="0"/>
        <w:overflowPunct w:val="0"/>
        <w:adjustRightInd w:val="0"/>
        <w:textAlignment w:val="baseline"/>
        <w:rPr>
          <w:rFonts w:hint="eastAsia" w:ascii="ＭＳ 明朝" w:hAnsi="ＭＳ 明朝"/>
          <w:kern w:val="0"/>
          <w:sz w:val="22"/>
        </w:rPr>
      </w:pPr>
    </w:p>
    <w:p>
      <w:pPr>
        <w:pStyle w:val="0"/>
        <w:overflowPunct w:val="0"/>
        <w:adjustRightInd w:val="0"/>
        <w:textAlignment w:val="baseline"/>
        <w:rPr>
          <w:rFonts w:hint="eastAsia" w:ascii="ＭＳ 明朝" w:hAnsi="ＭＳ 明朝"/>
          <w:kern w:val="0"/>
          <w:sz w:val="22"/>
        </w:rPr>
      </w:pP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Ⅱ　調査の概要</w:t>
      </w:r>
    </w:p>
    <w:p>
      <w:pPr>
        <w:pStyle w:val="0"/>
        <w:overflowPunct w:val="0"/>
        <w:adjustRightInd w:val="0"/>
        <w:ind w:firstLine="228" w:firstLineChars="100"/>
        <w:textAlignment w:val="baseline"/>
        <w:rPr>
          <w:rFonts w:hint="default" w:ascii="ＭＳ 明朝" w:hAnsi="ＭＳ 明朝"/>
          <w:spacing w:val="2"/>
          <w:kern w:val="0"/>
          <w:sz w:val="22"/>
        </w:rPr>
      </w:pPr>
      <w:r>
        <w:rPr>
          <w:rFonts w:hint="eastAsia" w:ascii="ＭＳ 明朝" w:hAnsi="ＭＳ 明朝"/>
          <w:spacing w:val="4"/>
          <w:kern w:val="0"/>
          <w:sz w:val="22"/>
        </w:rPr>
        <w:t>１　調査の目的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２　根拠法規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３　調査体系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４　調査事項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５　調査期日　・・・・・・・・・・・・・・・・・・・・・・・・・・・・・・　　３</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６　調査方法　・・・・・・・・・・・・・・・・・・・・・・・・・・・・・・　　３</w:t>
      </w:r>
    </w:p>
    <w:p>
      <w:pPr>
        <w:pStyle w:val="0"/>
        <w:overflowPunct w:val="0"/>
        <w:adjustRightInd w:val="0"/>
        <w:ind w:firstLine="228" w:firstLineChars="100"/>
        <w:textAlignment w:val="baseline"/>
        <w:rPr>
          <w:rFonts w:hint="default" w:ascii="ＭＳ 明朝" w:hAnsi="ＭＳ 明朝"/>
          <w:spacing w:val="2"/>
          <w:kern w:val="0"/>
          <w:sz w:val="22"/>
        </w:rPr>
      </w:pPr>
      <w:r>
        <w:rPr>
          <w:rFonts w:hint="eastAsia" w:ascii="ＭＳ 明朝" w:hAnsi="ＭＳ 明朝"/>
          <w:spacing w:val="4"/>
          <w:kern w:val="0"/>
          <w:sz w:val="22"/>
        </w:rPr>
        <w:t>７　</w:t>
      </w:r>
      <w:r>
        <w:rPr>
          <w:rFonts w:hint="eastAsia" w:ascii="ＭＳ 明朝" w:hAnsi="ＭＳ 明朝"/>
          <w:spacing w:val="4"/>
          <w:kern w:val="0"/>
          <w:sz w:val="22"/>
        </w:rPr>
        <w:t xml:space="preserve">2020 </w:t>
      </w:r>
      <w:r>
        <w:rPr>
          <w:rFonts w:hint="eastAsia" w:ascii="ＭＳ 明朝" w:hAnsi="ＭＳ 明朝"/>
          <w:spacing w:val="4"/>
          <w:kern w:val="0"/>
          <w:sz w:val="22"/>
        </w:rPr>
        <w:t>年調査の主な変更点</w:t>
      </w:r>
      <w:r>
        <w:rPr>
          <w:rFonts w:hint="eastAsia" w:ascii="ＭＳ 明朝" w:hAnsi="ＭＳ 明朝"/>
          <w:spacing w:val="4"/>
          <w:kern w:val="0"/>
          <w:sz w:val="22"/>
        </w:rPr>
        <w:t xml:space="preserve"> </w:t>
      </w:r>
      <w:r>
        <w:rPr>
          <w:rFonts w:hint="eastAsia" w:ascii="ＭＳ 明朝" w:hAnsi="ＭＳ 明朝"/>
          <w:spacing w:val="4"/>
          <w:kern w:val="0"/>
          <w:sz w:val="22"/>
        </w:rPr>
        <w:t>・・・・・・・・・・・・・・・・・・・・・・・　　３</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８　集計方法　・・・・・・・・・・・・・・・・・・・・・・・・・・・・・・　　３</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９　用語の解説・・・・・・・・・・・・・・・・・・・・・・・・・・・・・・　　４</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w:t>
      </w:r>
      <w:r>
        <w:rPr>
          <w:rFonts w:hint="eastAsia" w:ascii="ＭＳ 明朝" w:hAnsi="ＭＳ 明朝"/>
          <w:spacing w:val="4"/>
          <w:kern w:val="0"/>
          <w:sz w:val="22"/>
        </w:rPr>
        <w:t>10</w:t>
      </w:r>
      <w:r>
        <w:rPr>
          <w:rFonts w:hint="eastAsia" w:ascii="ＭＳ 明朝" w:hAnsi="ＭＳ 明朝"/>
          <w:spacing w:val="4"/>
          <w:kern w:val="0"/>
          <w:sz w:val="22"/>
        </w:rPr>
        <w:t>　利用上の注意　・・・・・・・・・・・・・・・・・・・・・・・・・・・・　１３</w:t>
      </w:r>
    </w:p>
    <w:p>
      <w:pPr>
        <w:pStyle w:val="0"/>
        <w:overflowPunct w:val="0"/>
        <w:adjustRightInd w:val="0"/>
        <w:textAlignment w:val="baseline"/>
        <w:rPr>
          <w:rFonts w:hint="default"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4"/>
          <w:kern w:val="0"/>
          <w:sz w:val="22"/>
        </w:rPr>
      </w:pPr>
      <w:r>
        <w:rPr>
          <w:rFonts w:hint="eastAsia" w:ascii="ＭＳ 明朝" w:hAnsi="ＭＳ 明朝"/>
          <w:spacing w:val="4"/>
          <w:kern w:val="0"/>
          <w:sz w:val="22"/>
        </w:rPr>
        <w:t>Ⅲ　統計表（県計、市町村別）</w:t>
      </w:r>
    </w:p>
    <w:p>
      <w:pPr>
        <w:pStyle w:val="0"/>
        <w:overflowPunct w:val="0"/>
        <w:adjustRightInd w:val="0"/>
        <w:ind w:firstLine="455" w:firstLineChars="200"/>
        <w:textAlignment w:val="baseline"/>
        <w:rPr>
          <w:rFonts w:hint="eastAsia" w:ascii="ＭＳ 明朝" w:hAnsi="ＭＳ 明朝"/>
          <w:spacing w:val="4"/>
          <w:kern w:val="0"/>
          <w:sz w:val="22"/>
        </w:rPr>
      </w:pPr>
      <w:r>
        <w:rPr>
          <w:rFonts w:hint="eastAsia" w:ascii="ＭＳ 明朝" w:hAnsi="ＭＳ 明朝"/>
          <w:spacing w:val="4"/>
          <w:kern w:val="0"/>
          <w:sz w:val="22"/>
        </w:rPr>
        <w:t>（調査集計項目等は統計表に添付した目次を御参照ください。）</w:t>
      </w:r>
    </w:p>
    <w:p>
      <w:pPr>
        <w:pStyle w:val="0"/>
        <w:overflowPunct w:val="0"/>
        <w:adjustRightInd w:val="0"/>
        <w:textAlignment w:val="baseline"/>
        <w:rPr>
          <w:rFonts w:hint="eastAsia" w:ascii="ＭＳ 明朝" w:hAnsi="ＭＳ 明朝"/>
          <w:spacing w:val="2"/>
          <w:kern w:val="0"/>
          <w:sz w:val="22"/>
        </w:rPr>
      </w:pPr>
      <w:r>
        <w:rPr>
          <w:rFonts w:hint="eastAsia" w:ascii="ＭＳ 明朝" w:hAnsi="ＭＳ 明朝"/>
          <w:spacing w:val="2"/>
          <w:kern w:val="0"/>
          <w:sz w:val="22"/>
        </w:rPr>
        <w:t>　　　　　　　　　　　　　　　　　　　　　　　　　　　　　　　　　　　　　１５～７７</w:t>
      </w: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rPr>
          <w:rFonts w:hint="eastAsia" w:ascii="ＭＳ ゴシック" w:hAnsi="ＭＳ ゴシック" w:eastAsia="ＭＳ ゴシック"/>
          <w:spacing w:val="2"/>
          <w:kern w:val="0"/>
          <w:sz w:val="24"/>
        </w:rPr>
        <w:sectPr>
          <w:headerReference r:id="rId7" w:type="default"/>
          <w:footerReference r:id="rId9" w:type="default"/>
          <w:headerReference r:id="rId6" w:type="first"/>
          <w:footerReference r:id="rId8" w:type="first"/>
          <w:type w:val="continuous"/>
          <w:pgSz w:w="11906" w:h="16838"/>
          <w:pgMar w:top="1134" w:right="1247" w:bottom="851" w:left="1247" w:header="720" w:footer="284" w:gutter="0"/>
          <w:pgNumType w:fmt="numberInDash" w:start="0"/>
          <w:cols w:space="720"/>
          <w:noEndnote w:val="1"/>
          <w:titlePg w:val="1"/>
          <w:textDirection w:val="lrTb"/>
          <w:docGrid w:type="lines" w:linePitch="346" w:charSpace="8487"/>
        </w:sectPr>
      </w:pPr>
    </w:p>
    <w:p>
      <w:pPr>
        <w:pStyle w:val="0"/>
        <w:overflowPunct w:val="0"/>
        <w:adjustRightInd w:val="0"/>
        <w:textAlignment w:val="baseline"/>
        <w:rPr>
          <w:rFonts w:hint="eastAsia" w:ascii="ＭＳ ゴシック" w:hAnsi="ＭＳ ゴシック" w:eastAsia="ＭＳ ゴシック"/>
          <w:spacing w:val="2"/>
          <w:kern w:val="0"/>
          <w:sz w:val="24"/>
        </w:rPr>
      </w:pPr>
      <w:r>
        <w:rPr>
          <w:rFonts w:hint="eastAsia" w:ascii="ＭＳ ゴシック" w:hAnsi="ＭＳ ゴシック" w:eastAsia="ＭＳ ゴシック"/>
          <w:spacing w:val="2"/>
          <w:kern w:val="0"/>
          <w:sz w:val="24"/>
        </w:rPr>
        <w:t>Ⅰ　はじめに</w:t>
      </w: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default" w:ascii="ＭＳ 明朝" w:hAnsi="ＭＳ 明朝"/>
          <w:spacing w:val="2"/>
          <w:kern w:val="0"/>
          <w:sz w:val="22"/>
        </w:rPr>
      </w:pPr>
    </w:p>
    <w:tbl>
      <w:tblPr>
        <w:tblStyle w:val="11"/>
        <w:tblW w:w="972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20"/>
      </w:tblGrid>
      <w:tr>
        <w:trPr>
          <w:trHeight w:val="6300" w:hRule="atLeast"/>
        </w:trPr>
        <w:tc>
          <w:tcPr>
            <w:tcW w:w="9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ascii="ＭＳ 明朝" w:hAnsi="ＭＳ 明朝"/>
                <w:spacing w:val="2"/>
                <w:kern w:val="0"/>
                <w:sz w:val="22"/>
              </w:rPr>
            </w:pPr>
          </w:p>
          <w:p>
            <w:pPr>
              <w:pStyle w:val="0"/>
              <w:overflowPunct w:val="0"/>
              <w:adjustRightInd w:val="0"/>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令和２年２月１日現在で実施した２０２０年農林業センサス秋田県結果（確定値）に</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ついては、次のとおりです。</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ind w:left="440" w:hanging="440" w:hangingChars="200"/>
              <w:jc w:val="left"/>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農林業センサスは、我が国の農林業の生産構造、就業構造及び農山村等の農林業を取り</w:t>
            </w:r>
          </w:p>
          <w:p>
            <w:pPr>
              <w:pStyle w:val="0"/>
              <w:autoSpaceDE w:val="0"/>
              <w:autoSpaceDN w:val="0"/>
              <w:adjustRightInd w:val="0"/>
              <w:ind w:left="0" w:leftChars="0" w:firstLine="440" w:firstLineChars="200"/>
              <w:jc w:val="left"/>
              <w:rPr>
                <w:rFonts w:hint="eastAsia" w:ascii="ＭＳ 明朝" w:hAnsi="ＭＳ 明朝"/>
                <w:kern w:val="0"/>
                <w:sz w:val="22"/>
              </w:rPr>
            </w:pPr>
            <w:r>
              <w:rPr>
                <w:rFonts w:hint="eastAsia" w:ascii="ＭＳ 明朝" w:hAnsi="ＭＳ 明朝"/>
                <w:kern w:val="0"/>
                <w:sz w:val="22"/>
              </w:rPr>
              <w:t>巻く実態を明らかにするとともに、我が国の農林行政の推進に必要な基礎資料を整備する</w:t>
            </w:r>
          </w:p>
          <w:p>
            <w:pPr>
              <w:pStyle w:val="0"/>
              <w:autoSpaceDE w:val="0"/>
              <w:autoSpaceDN w:val="0"/>
              <w:adjustRightInd w:val="0"/>
              <w:ind w:left="0" w:leftChars="0" w:firstLine="440" w:firstLineChars="200"/>
              <w:jc w:val="left"/>
              <w:rPr>
                <w:rFonts w:hint="eastAsia" w:ascii="ＭＳ 明朝" w:hAnsi="ＭＳ 明朝"/>
                <w:kern w:val="0"/>
                <w:sz w:val="22"/>
              </w:rPr>
            </w:pPr>
            <w:r>
              <w:rPr>
                <w:rFonts w:hint="eastAsia" w:ascii="ＭＳ 明朝" w:hAnsi="ＭＳ 明朝"/>
                <w:kern w:val="0"/>
                <w:sz w:val="22"/>
              </w:rPr>
              <w:t>ことを目的に、全国のすべての農林業経営体等を調査対象として５年ごとに実施している</w:t>
            </w:r>
          </w:p>
          <w:p>
            <w:pPr>
              <w:pStyle w:val="0"/>
              <w:autoSpaceDE w:val="0"/>
              <w:autoSpaceDN w:val="0"/>
              <w:adjustRightInd w:val="0"/>
              <w:ind w:left="0" w:leftChars="0" w:firstLine="440" w:firstLineChars="200"/>
              <w:jc w:val="left"/>
              <w:rPr>
                <w:rFonts w:hint="eastAsia" w:ascii="ＭＳ 明朝" w:hAnsi="ＭＳ 明朝"/>
                <w:kern w:val="0"/>
                <w:sz w:val="22"/>
              </w:rPr>
            </w:pPr>
            <w:r>
              <w:rPr>
                <w:rFonts w:hint="eastAsia" w:ascii="ＭＳ 明朝" w:hAnsi="ＭＳ 明朝"/>
                <w:kern w:val="0"/>
                <w:sz w:val="22"/>
              </w:rPr>
              <w:t>基幹統計調査です。</w:t>
            </w:r>
          </w:p>
          <w:p>
            <w:pPr>
              <w:pStyle w:val="0"/>
              <w:autoSpaceDE w:val="0"/>
              <w:autoSpaceDN w:val="0"/>
              <w:adjustRightInd w:val="0"/>
              <w:ind w:left="440" w:leftChars="200" w:firstLine="220" w:firstLineChars="100"/>
              <w:jc w:val="left"/>
              <w:rPr>
                <w:rFonts w:hint="eastAsia" w:ascii="ＭＳ 明朝" w:hAnsi="ＭＳ 明朝"/>
                <w:kern w:val="0"/>
                <w:sz w:val="22"/>
              </w:rPr>
            </w:pPr>
            <w:r>
              <w:rPr>
                <w:rFonts w:hint="eastAsia" w:ascii="ＭＳ 明朝" w:hAnsi="ＭＳ 明朝"/>
                <w:kern w:val="0"/>
                <w:sz w:val="22"/>
              </w:rPr>
              <w:t>我が国の農林業センサスは、１９５０年から５年ごとに実施しており、今回で１５回目（林業センサスについては９回目）となります。</w:t>
            </w:r>
          </w:p>
          <w:p>
            <w:pPr>
              <w:pStyle w:val="0"/>
              <w:overflowPunct w:val="0"/>
              <w:adjustRightInd w:val="0"/>
              <w:textAlignment w:val="baseline"/>
              <w:rPr>
                <w:rFonts w:hint="eastAsia" w:ascii="ＭＳ 明朝" w:hAnsi="ＭＳ 明朝"/>
                <w:kern w:val="0"/>
                <w:sz w:val="22"/>
              </w:rPr>
            </w:pPr>
          </w:p>
          <w:p>
            <w:pPr>
              <w:pStyle w:val="0"/>
              <w:overflowPunct w:val="0"/>
              <w:adjustRightInd w:val="0"/>
              <w:ind w:left="440" w:hanging="440" w:hangingChars="200"/>
              <w:textAlignment w:val="baseline"/>
              <w:rPr>
                <w:rFonts w:hint="default" w:ascii="ＭＳ 明朝" w:hAnsi="ＭＳ 明朝"/>
                <w:spacing w:val="2"/>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この調査は、</w:t>
            </w:r>
            <w:r>
              <w:rPr>
                <w:rFonts w:hint="eastAsia" w:ascii="ＭＳ 明朝" w:hAnsi="ＭＳ 明朝"/>
                <w:spacing w:val="4"/>
                <w:kern w:val="0"/>
                <w:sz w:val="22"/>
              </w:rPr>
              <w:t>農林業経営体が自分で調査票に記入・回答を行う「自計申告調査</w:t>
            </w:r>
            <w:r>
              <w:rPr>
                <w:rFonts w:hint="default" w:ascii="ＭＳ 明朝" w:hAnsi="ＭＳ 明朝"/>
                <w:spacing w:val="4"/>
                <w:kern w:val="0"/>
                <w:sz w:val="22"/>
              </w:rPr>
              <w:t>」</w:t>
            </w:r>
            <w:r>
              <w:rPr>
                <w:rFonts w:hint="eastAsia" w:ascii="ＭＳ 明朝" w:hAnsi="ＭＳ 明朝"/>
                <w:spacing w:val="4"/>
                <w:kern w:val="0"/>
                <w:sz w:val="22"/>
              </w:rPr>
              <w:t>に</w:t>
            </w:r>
          </w:p>
          <w:p>
            <w:pPr>
              <w:pStyle w:val="0"/>
              <w:overflowPunct w:val="0"/>
              <w:adjustRightInd w:val="0"/>
              <w:ind w:left="440" w:leftChars="200" w:firstLine="0" w:firstLineChars="0"/>
              <w:textAlignment w:val="baseline"/>
              <w:rPr>
                <w:rFonts w:hint="default" w:ascii="ＭＳ 明朝" w:hAnsi="ＭＳ 明朝"/>
                <w:spacing w:val="2"/>
                <w:kern w:val="0"/>
                <w:sz w:val="22"/>
              </w:rPr>
            </w:pPr>
            <w:r>
              <w:rPr>
                <w:rFonts w:hint="eastAsia" w:ascii="ＭＳ 明朝" w:hAnsi="ＭＳ 明朝"/>
                <w:spacing w:val="4"/>
                <w:kern w:val="0"/>
                <w:sz w:val="22"/>
              </w:rPr>
              <w:t>より実施し、その数値を集計したものです。</w:t>
            </w:r>
          </w:p>
          <w:p>
            <w:pPr>
              <w:pStyle w:val="0"/>
              <w:overflowPunct w:val="0"/>
              <w:adjustRightInd w:val="0"/>
              <w:textAlignment w:val="baseline"/>
              <w:rPr>
                <w:rFonts w:hint="eastAsia" w:ascii="ＭＳ 明朝" w:hAnsi="ＭＳ 明朝"/>
                <w:kern w:val="0"/>
                <w:sz w:val="22"/>
              </w:rPr>
            </w:pPr>
          </w:p>
          <w:p>
            <w:pPr>
              <w:pStyle w:val="0"/>
              <w:overflowPunct w:val="0"/>
              <w:adjustRightInd w:val="0"/>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spacing w:val="4"/>
                <w:kern w:val="0"/>
                <w:sz w:val="22"/>
              </w:rPr>
              <w:t>　</w:t>
            </w:r>
            <w:r>
              <w:rPr>
                <w:rFonts w:hint="eastAsia" w:ascii="ＭＳ 明朝" w:hAnsi="ＭＳ 明朝"/>
                <w:spacing w:val="4"/>
                <w:kern w:val="0"/>
                <w:sz w:val="22"/>
              </w:rPr>
              <w:t xml:space="preserve"> </w:t>
            </w:r>
            <w:r>
              <w:rPr>
                <w:rFonts w:hint="eastAsia" w:ascii="ＭＳ 明朝" w:hAnsi="ＭＳ 明朝"/>
                <w:spacing w:val="4"/>
                <w:kern w:val="0"/>
                <w:sz w:val="22"/>
              </w:rPr>
              <w:t>　</w:t>
            </w:r>
            <w:r>
              <w:rPr>
                <w:rFonts w:hint="eastAsia" w:ascii="ＭＳ 明朝" w:hAnsi="ＭＳ 明朝"/>
                <w:kern w:val="0"/>
                <w:sz w:val="22"/>
              </w:rPr>
              <w:t>今回公表するのは確定値であり、これまでに公表された「概数値」と数値が異なる場</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合があるため、</w:t>
            </w:r>
            <w:r>
              <w:rPr>
                <w:rFonts w:hint="eastAsia" w:ascii="ＭＳ 明朝" w:hAnsi="ＭＳ 明朝"/>
                <w:kern w:val="0"/>
                <w:sz w:val="22"/>
                <w:u w:val="single" w:color="auto"/>
              </w:rPr>
              <w:t>利用に当たっては十分留意されるようお願いいたします</w:t>
            </w:r>
            <w:r>
              <w:rPr>
                <w:rFonts w:hint="eastAsia" w:ascii="ＭＳ 明朝" w:hAnsi="ＭＳ 明朝"/>
                <w:kern w:val="0"/>
                <w:sz w:val="22"/>
              </w:rPr>
              <w:t>。</w:t>
            </w:r>
          </w:p>
          <w:p>
            <w:pPr>
              <w:pStyle w:val="0"/>
              <w:overflowPunct w:val="0"/>
              <w:adjustRightInd w:val="0"/>
              <w:ind w:firstLine="439" w:firstLineChars="200"/>
              <w:textAlignment w:val="baseline"/>
              <w:rPr>
                <w:rFonts w:hint="eastAsia" w:ascii="ＭＳ 明朝" w:hAnsi="ＭＳ 明朝"/>
                <w:kern w:val="0"/>
                <w:sz w:val="22"/>
              </w:rPr>
            </w:pPr>
          </w:p>
          <w:p>
            <w:pPr>
              <w:pStyle w:val="0"/>
              <w:overflowPunct w:val="0"/>
              <w:adjustRightInd w:val="0"/>
              <w:ind w:firstLine="656" w:firstLineChars="299"/>
              <w:textAlignment w:val="baseline"/>
              <w:rPr>
                <w:rFonts w:hint="eastAsia" w:ascii="ＭＳ 明朝" w:hAnsi="ＭＳ 明朝"/>
                <w:kern w:val="0"/>
                <w:sz w:val="22"/>
              </w:rPr>
            </w:pPr>
            <w:r>
              <w:rPr>
                <w:rFonts w:hint="eastAsia" w:ascii="ＭＳ 明朝" w:hAnsi="ＭＳ 明朝"/>
                <w:kern w:val="0"/>
                <w:sz w:val="22"/>
              </w:rPr>
              <w:t>なお、統計表中には経営体等の特定を防止する目的で、「Ｘ」表示で数値を付したも</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のがあり、また、「</w:t>
            </w:r>
            <w:r>
              <w:rPr>
                <w:rFonts w:hint="eastAsia" w:ascii="ＭＳ 明朝" w:hAnsi="ＭＳ 明朝"/>
                <w:spacing w:val="4"/>
                <w:kern w:val="0"/>
                <w:sz w:val="22"/>
              </w:rPr>
              <w:t>Ⅲ</w:t>
            </w:r>
            <w:r>
              <w:rPr>
                <w:rFonts w:hint="eastAsia" w:ascii="ＭＳ 明朝" w:hAnsi="ＭＳ 明朝"/>
                <w:spacing w:val="4"/>
                <w:kern w:val="0"/>
                <w:sz w:val="22"/>
              </w:rPr>
              <w:t xml:space="preserve"> </w:t>
            </w:r>
            <w:r>
              <w:rPr>
                <w:rFonts w:hint="eastAsia" w:ascii="ＭＳ 明朝" w:hAnsi="ＭＳ 明朝"/>
                <w:spacing w:val="4"/>
                <w:kern w:val="0"/>
                <w:sz w:val="22"/>
              </w:rPr>
              <w:t>統計表（県計、市町村別）」に掲げる各</w:t>
            </w:r>
            <w:r>
              <w:rPr>
                <w:rFonts w:hint="eastAsia" w:ascii="ＭＳ 明朝" w:hAnsi="ＭＳ 明朝"/>
                <w:kern w:val="0"/>
                <w:sz w:val="22"/>
              </w:rPr>
              <w:t>統計表は、項目が多い</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等の理由から、見やすさ等を考慮し「Ａ４横サイズ」で作成していますので、御了承く</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ださい。</w:t>
            </w:r>
          </w:p>
          <w:p>
            <w:pPr>
              <w:pStyle w:val="0"/>
              <w:overflowPunct w:val="0"/>
              <w:adjustRightInd w:val="0"/>
              <w:ind w:firstLine="439" w:firstLineChars="200"/>
              <w:textAlignment w:val="baseline"/>
              <w:rPr>
                <w:rFonts w:hint="eastAsia" w:ascii="ＭＳ 明朝" w:hAnsi="ＭＳ 明朝"/>
                <w:kern w:val="0"/>
                <w:sz w:val="22"/>
              </w:rPr>
            </w:pPr>
          </w:p>
          <w:p>
            <w:pPr>
              <w:pStyle w:val="0"/>
              <w:autoSpaceDE w:val="0"/>
              <w:autoSpaceDN w:val="0"/>
              <w:adjustRightInd w:val="0"/>
              <w:ind w:firstLine="4836" w:firstLineChars="2424"/>
              <w:jc w:val="left"/>
              <w:rPr>
                <w:rFonts w:hint="eastAsia" w:ascii="ＭＳ 明朝" w:hAnsi="ＭＳ 明朝"/>
                <w:kern w:val="0"/>
                <w:sz w:val="20"/>
              </w:rPr>
            </w:pPr>
            <w:r>
              <w:rPr>
                <w:rFonts w:hint="eastAsia" w:ascii="ＭＳ 明朝" w:hAnsi="ＭＳ 明朝"/>
                <w:kern w:val="0"/>
                <w:sz w:val="20"/>
              </w:rPr>
              <w:t>（詳細は「Ⅱ調査の概要」を御参照ください。）</w:t>
            </w:r>
          </w:p>
          <w:p>
            <w:pPr>
              <w:pStyle w:val="0"/>
              <w:overflowPunct w:val="0"/>
              <w:adjustRightInd w:val="0"/>
              <w:textAlignment w:val="baseline"/>
              <w:rPr>
                <w:rFonts w:hint="default" w:ascii="ＭＳ 明朝" w:hAnsi="ＭＳ 明朝"/>
                <w:spacing w:val="2"/>
                <w:kern w:val="0"/>
                <w:sz w:val="22"/>
              </w:rPr>
            </w:pPr>
          </w:p>
        </w:tc>
      </w:tr>
    </w:tbl>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1"/>
        <w:rPr>
          <w:rFonts w:hint="default"/>
        </w:rPr>
      </w:pPr>
      <w:r>
        <w:rPr>
          <w:rFonts w:hint="eastAsia"/>
        </w:rPr>
        <w:t>Ⅱ　調査の概要</w:t>
      </w:r>
    </w:p>
    <w:p>
      <w:pPr>
        <w:pStyle w:val="0"/>
        <w:rPr>
          <w:rFonts w:hint="default"/>
        </w:rPr>
      </w:pPr>
    </w:p>
    <w:p>
      <w:pPr>
        <w:pStyle w:val="2"/>
        <w:rPr>
          <w:rFonts w:hint="default"/>
        </w:rPr>
      </w:pPr>
      <w:r>
        <w:rPr>
          <w:rFonts w:hint="eastAsia"/>
        </w:rPr>
        <w:t>１　調査の目的</w:t>
      </w:r>
    </w:p>
    <w:p>
      <w:pPr>
        <w:pStyle w:val="24"/>
        <w:ind w:left="220" w:firstLine="240"/>
        <w:rPr>
          <w:rFonts w:hint="default"/>
          <w:sz w:val="24"/>
        </w:rPr>
      </w:pPr>
      <w:r>
        <w:rPr>
          <w:rFonts w:hint="default"/>
          <w:sz w:val="24"/>
        </w:rPr>
        <w:t>2020</w:t>
      </w:r>
      <w:r>
        <w:rPr>
          <w:rFonts w:hint="default"/>
          <w:sz w:val="24"/>
        </w:rPr>
        <w:t>年農林業センサスは、我が国の</w:t>
      </w:r>
      <w:r>
        <w:rPr>
          <w:rFonts w:hint="eastAsia"/>
          <w:sz w:val="24"/>
        </w:rPr>
        <w:t>農林業の</w:t>
      </w:r>
      <w:r>
        <w:rPr>
          <w:rFonts w:hint="default"/>
          <w:sz w:val="24"/>
        </w:rPr>
        <w:t>生産構造、就業構造及び農山村等の農林業を</w:t>
      </w:r>
      <w:r>
        <w:rPr>
          <w:rFonts w:hint="eastAsia"/>
          <w:sz w:val="24"/>
        </w:rPr>
        <w:t>取り巻く</w:t>
      </w:r>
      <w:r>
        <w:rPr>
          <w:rFonts w:hint="default"/>
          <w:sz w:val="24"/>
        </w:rPr>
        <w:t>実態を明らかにするとともに、我が国の農林行政の推進に必要な基礎資料を整備することを目的として</w:t>
      </w:r>
      <w:r>
        <w:rPr>
          <w:rFonts w:hint="eastAsia"/>
          <w:sz w:val="24"/>
        </w:rPr>
        <w:t>実施した。</w:t>
      </w:r>
    </w:p>
    <w:p>
      <w:pPr>
        <w:pStyle w:val="0"/>
        <w:adjustRightInd w:val="1"/>
        <w:ind w:left="-2" w:leftChars="-1" w:firstLine="3"/>
        <w:rPr>
          <w:rFonts w:hint="default" w:eastAsia="ＭＳ Ｐゴシック"/>
        </w:rPr>
      </w:pPr>
    </w:p>
    <w:p>
      <w:pPr>
        <w:pStyle w:val="2"/>
        <w:rPr>
          <w:rFonts w:hint="default"/>
        </w:rPr>
      </w:pPr>
      <w:r>
        <w:rPr>
          <w:rFonts w:hint="eastAsia"/>
        </w:rPr>
        <w:t>２　根拠法規</w:t>
      </w:r>
    </w:p>
    <w:p>
      <w:pPr>
        <w:pStyle w:val="24"/>
        <w:ind w:left="220" w:firstLine="240"/>
        <w:rPr>
          <w:rFonts w:hint="default"/>
          <w:sz w:val="24"/>
        </w:rPr>
      </w:pPr>
      <w:r>
        <w:rPr>
          <w:rFonts w:hint="eastAsia"/>
          <w:sz w:val="24"/>
        </w:rPr>
        <w:t>2</w:t>
      </w:r>
      <w:r>
        <w:rPr>
          <w:rFonts w:hint="default"/>
          <w:sz w:val="24"/>
        </w:rPr>
        <w:t>020</w:t>
      </w:r>
      <w:r>
        <w:rPr>
          <w:rFonts w:hint="eastAsia"/>
          <w:sz w:val="24"/>
        </w:rPr>
        <w:t>年農林業センサスは、統計法（平成</w:t>
      </w:r>
      <w:r>
        <w:rPr>
          <w:rFonts w:hint="eastAsia"/>
          <w:sz w:val="24"/>
        </w:rPr>
        <w:t>19</w:t>
      </w:r>
      <w:r>
        <w:rPr>
          <w:rFonts w:hint="eastAsia"/>
          <w:sz w:val="24"/>
        </w:rPr>
        <w:t>年法律第</w:t>
      </w:r>
      <w:r>
        <w:rPr>
          <w:rFonts w:hint="eastAsia"/>
          <w:sz w:val="24"/>
        </w:rPr>
        <w:t>53</w:t>
      </w:r>
      <w:r>
        <w:rPr>
          <w:rFonts w:hint="eastAsia"/>
          <w:sz w:val="24"/>
        </w:rPr>
        <w:t>号）第２条第４項に基づく基幹統計の作成を目的とする統計調査として、統計法施行令（平成</w:t>
      </w:r>
      <w:r>
        <w:rPr>
          <w:rFonts w:hint="default"/>
          <w:sz w:val="24"/>
        </w:rPr>
        <w:t>20</w:t>
      </w:r>
      <w:r>
        <w:rPr>
          <w:rFonts w:hint="default"/>
          <w:sz w:val="24"/>
        </w:rPr>
        <w:t>年政令第</w:t>
      </w:r>
      <w:r>
        <w:rPr>
          <w:rFonts w:hint="default"/>
          <w:sz w:val="24"/>
        </w:rPr>
        <w:t>334</w:t>
      </w:r>
      <w:r>
        <w:rPr>
          <w:rFonts w:hint="default"/>
          <w:sz w:val="24"/>
        </w:rPr>
        <w:t>号）</w:t>
      </w:r>
      <w:r>
        <w:rPr>
          <w:rFonts w:hint="eastAsia"/>
          <w:sz w:val="24"/>
        </w:rPr>
        <w:t>、農林業センサス規則（昭和</w:t>
      </w:r>
      <w:r>
        <w:rPr>
          <w:rFonts w:hint="default"/>
          <w:sz w:val="24"/>
        </w:rPr>
        <w:t>44</w:t>
      </w:r>
      <w:r>
        <w:rPr>
          <w:rFonts w:hint="default"/>
          <w:sz w:val="24"/>
        </w:rPr>
        <w:t>年農林省令第</w:t>
      </w:r>
      <w:r>
        <w:rPr>
          <w:rFonts w:hint="default"/>
          <w:sz w:val="24"/>
        </w:rPr>
        <w:t>39</w:t>
      </w:r>
      <w:r>
        <w:rPr>
          <w:rFonts w:hint="default"/>
          <w:sz w:val="24"/>
        </w:rPr>
        <w:t>号）及び平成</w:t>
      </w:r>
      <w:r>
        <w:rPr>
          <w:rFonts w:hint="default"/>
          <w:sz w:val="24"/>
        </w:rPr>
        <w:t>16</w:t>
      </w:r>
      <w:r>
        <w:rPr>
          <w:rFonts w:hint="default"/>
          <w:sz w:val="24"/>
        </w:rPr>
        <w:t>年</w:t>
      </w:r>
      <w:r>
        <w:rPr>
          <w:rFonts w:hint="eastAsia"/>
          <w:sz w:val="24"/>
        </w:rPr>
        <w:t>５</w:t>
      </w:r>
      <w:r>
        <w:rPr>
          <w:rFonts w:hint="default"/>
          <w:sz w:val="24"/>
        </w:rPr>
        <w:t>月</w:t>
      </w:r>
      <w:r>
        <w:rPr>
          <w:rFonts w:hint="eastAsia"/>
          <w:sz w:val="24"/>
        </w:rPr>
        <w:t>20</w:t>
      </w:r>
      <w:r>
        <w:rPr>
          <w:rFonts w:hint="default"/>
          <w:sz w:val="24"/>
        </w:rPr>
        <w:t>日農林水産省告示第</w:t>
      </w:r>
      <w:r>
        <w:rPr>
          <w:rFonts w:hint="default"/>
          <w:sz w:val="24"/>
        </w:rPr>
        <w:t>1071</w:t>
      </w:r>
      <w:r>
        <w:rPr>
          <w:rFonts w:hint="default"/>
          <w:sz w:val="24"/>
        </w:rPr>
        <w:t>号（農林業センサス規則第</w:t>
      </w:r>
      <w:r>
        <w:rPr>
          <w:rFonts w:hint="eastAsia"/>
          <w:sz w:val="24"/>
        </w:rPr>
        <w:t>５</w:t>
      </w:r>
      <w:r>
        <w:rPr>
          <w:rFonts w:hint="default"/>
          <w:sz w:val="24"/>
        </w:rPr>
        <w:t>条第</w:t>
      </w:r>
      <w:r>
        <w:rPr>
          <w:rFonts w:hint="eastAsia"/>
          <w:sz w:val="24"/>
        </w:rPr>
        <w:t>１</w:t>
      </w:r>
      <w:r>
        <w:rPr>
          <w:rFonts w:hint="default"/>
          <w:sz w:val="24"/>
        </w:rPr>
        <w:t>項の農林水産大臣が定める農林業経営体等を定める件）</w:t>
      </w:r>
      <w:r>
        <w:rPr>
          <w:rFonts w:hint="eastAsia"/>
          <w:sz w:val="24"/>
        </w:rPr>
        <w:t>に基づき実施している。</w:t>
      </w:r>
    </w:p>
    <w:p>
      <w:pPr>
        <w:pStyle w:val="24"/>
        <w:ind w:left="220" w:firstLine="220"/>
        <w:rPr>
          <w:rFonts w:hint="default" w:eastAsia="ＭＳ Ｐゴシック"/>
        </w:rPr>
      </w:pPr>
    </w:p>
    <w:p>
      <w:pPr>
        <w:pStyle w:val="2"/>
        <w:rPr>
          <w:rFonts w:hint="default"/>
        </w:rPr>
      </w:pPr>
      <w:r>
        <w:rPr>
          <w:rFonts w:hint="eastAsia"/>
        </w:rPr>
        <w:t>３　</w:t>
      </w:r>
      <w:r>
        <w:rPr>
          <w:rFonts w:hint="default"/>
        </w:rPr>
        <w:t>調査体系</w:t>
      </w:r>
    </w:p>
    <w:tbl>
      <w:tblPr>
        <w:tblStyle w:val="11"/>
        <w:tblpPr w:leftFromText="142" w:rightFromText="142" w:topFromText="0" w:bottomFromText="0" w:vertAnchor="text" w:horzAnchor="margin" w:tblpXSpec="left" w:tblpY="128"/>
        <w:tblW w:w="9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9"/>
        <w:gridCol w:w="2219"/>
        <w:gridCol w:w="3603"/>
        <w:gridCol w:w="2371"/>
      </w:tblGrid>
      <w:tr>
        <w:trPr>
          <w:trHeight w:val="355" w:hRule="atLeast"/>
        </w:trPr>
        <w:tc>
          <w:tcPr>
            <w:tcW w:w="1233" w:type="dxa"/>
            <w:vAlign w:val="top"/>
          </w:tcPr>
          <w:p>
            <w:pPr>
              <w:pStyle w:val="0"/>
              <w:jc w:val="center"/>
              <w:rPr>
                <w:rFonts w:hint="default"/>
              </w:rPr>
            </w:pPr>
            <w:r>
              <w:rPr>
                <w:rFonts w:hint="eastAsia"/>
              </w:rPr>
              <w:t>調査の</w:t>
            </w:r>
          </w:p>
          <w:p>
            <w:pPr>
              <w:pStyle w:val="0"/>
              <w:jc w:val="center"/>
              <w:rPr>
                <w:rFonts w:hint="default"/>
                <w:sz w:val="20"/>
              </w:rPr>
            </w:pPr>
            <w:r>
              <w:rPr>
                <w:rFonts w:hint="eastAsia"/>
              </w:rPr>
              <w:t>種類</w:t>
            </w:r>
          </w:p>
        </w:tc>
        <w:tc>
          <w:tcPr>
            <w:tcW w:w="2268" w:type="dxa"/>
            <w:vAlign w:val="center"/>
          </w:tcPr>
          <w:p>
            <w:pPr>
              <w:pStyle w:val="0"/>
              <w:jc w:val="center"/>
              <w:rPr>
                <w:rFonts w:hint="default"/>
              </w:rPr>
            </w:pPr>
            <w:r>
              <w:rPr>
                <w:rFonts w:hint="eastAsia"/>
              </w:rPr>
              <w:t>調査の対象</w:t>
            </w:r>
          </w:p>
        </w:tc>
        <w:tc>
          <w:tcPr>
            <w:tcW w:w="3686" w:type="dxa"/>
            <w:vAlign w:val="center"/>
          </w:tcPr>
          <w:p>
            <w:pPr>
              <w:pStyle w:val="0"/>
              <w:jc w:val="center"/>
              <w:rPr>
                <w:rFonts w:hint="default"/>
              </w:rPr>
            </w:pPr>
            <w:r>
              <w:rPr>
                <w:rFonts w:hint="eastAsia"/>
              </w:rPr>
              <w:t>調査の系統</w:t>
            </w:r>
          </w:p>
        </w:tc>
        <w:tc>
          <w:tcPr>
            <w:tcW w:w="2423" w:type="dxa"/>
            <w:vAlign w:val="center"/>
          </w:tcPr>
          <w:p>
            <w:pPr>
              <w:pStyle w:val="0"/>
              <w:jc w:val="center"/>
              <w:rPr>
                <w:rFonts w:hint="default"/>
              </w:rPr>
            </w:pPr>
            <w:r>
              <w:rPr>
                <w:rFonts w:hint="eastAsia"/>
              </w:rPr>
              <w:t>調査の方法</w:t>
            </w:r>
          </w:p>
        </w:tc>
      </w:tr>
      <w:tr>
        <w:trPr>
          <w:trHeight w:val="2773" w:hRule="atLeast"/>
        </w:trPr>
        <w:tc>
          <w:tcPr>
            <w:tcW w:w="1233" w:type="dxa"/>
            <w:vAlign w:val="center"/>
          </w:tcPr>
          <w:p>
            <w:pPr>
              <w:pStyle w:val="0"/>
              <w:jc w:val="center"/>
              <w:rPr>
                <w:rFonts w:hint="default"/>
              </w:rPr>
            </w:pPr>
            <w:r>
              <w:rPr>
                <w:rFonts w:hint="eastAsia"/>
              </w:rPr>
              <w:t>農林業</w:t>
            </w:r>
            <w:r>
              <w:rPr>
                <w:rFonts w:hint="default"/>
              </w:rPr>
              <w:br w:type="textWrapping" w:clear="none"/>
            </w:r>
            <w:r>
              <w:rPr>
                <w:rFonts w:hint="eastAsia"/>
              </w:rPr>
              <w:t>経営体</w:t>
            </w:r>
            <w:r>
              <w:rPr>
                <w:rFonts w:hint="default"/>
              </w:rPr>
              <w:br w:type="textWrapping" w:clear="none"/>
            </w:r>
            <w:r>
              <w:rPr>
                <w:rFonts w:hint="eastAsia"/>
              </w:rPr>
              <w:t>調　査</w:t>
            </w:r>
          </w:p>
          <w:p>
            <w:pPr>
              <w:pStyle w:val="0"/>
              <w:jc w:val="center"/>
              <w:rPr>
                <w:rFonts w:hint="default"/>
                <w:sz w:val="20"/>
              </w:rPr>
            </w:pPr>
          </w:p>
        </w:tc>
        <w:tc>
          <w:tcPr>
            <w:tcW w:w="2268" w:type="dxa"/>
            <w:vAlign w:val="center"/>
          </w:tcPr>
          <w:p>
            <w:pPr>
              <w:pStyle w:val="0"/>
              <w:jc w:val="left"/>
              <w:rPr>
                <w:rFonts w:hint="default"/>
                <w:sz w:val="20"/>
              </w:rPr>
            </w:pPr>
            <w:r>
              <w:rPr>
                <w:rFonts w:hint="eastAsia"/>
              </w:rPr>
              <w:t>農林産物の生産を行うか又は委託を受けて農林業作業を行い、生産又は作業に係る面積・頭羽数が一定規模以上の「農林業生産活動」を行う者</w:t>
            </w:r>
          </w:p>
        </w:tc>
        <w:tc>
          <w:tcPr>
            <w:tcW w:w="3686" w:type="dxa"/>
            <w:vAlign w:val="center"/>
          </w:tcPr>
          <w:p>
            <w:pPr>
              <w:pStyle w:val="0"/>
              <w:spacing w:line="240" w:lineRule="exact"/>
              <w:jc w:val="center"/>
              <w:rPr>
                <w:rFonts w:hint="default"/>
              </w:rPr>
            </w:pPr>
            <w:r>
              <w:rPr>
                <w:rFonts w:hint="eastAsia"/>
              </w:rPr>
              <w:t>農林水産省</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都道府県</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市区町村</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統計調査員</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調査対象</w:t>
            </w:r>
          </w:p>
          <w:p>
            <w:pPr>
              <w:pStyle w:val="0"/>
              <w:widowControl w:val="1"/>
              <w:overflowPunct w:val="1"/>
              <w:adjustRightInd w:val="1"/>
              <w:spacing w:line="240" w:lineRule="exact"/>
              <w:jc w:val="center"/>
              <w:textAlignment w:val="auto"/>
              <w:rPr>
                <w:rFonts w:hint="default"/>
                <w:sz w:val="20"/>
              </w:rPr>
            </w:pPr>
            <w:r>
              <w:rPr>
                <w:rFonts w:hint="eastAsia"/>
              </w:rPr>
              <w:t>（農林業経営体）</w:t>
            </w:r>
          </w:p>
        </w:tc>
        <w:tc>
          <w:tcPr>
            <w:tcW w:w="2423" w:type="dxa"/>
            <w:vAlign w:val="center"/>
          </w:tcPr>
          <w:p>
            <w:pPr>
              <w:pStyle w:val="0"/>
              <w:widowControl w:val="1"/>
              <w:overflowPunct w:val="1"/>
              <w:adjustRightInd w:val="1"/>
              <w:jc w:val="left"/>
              <w:textAlignment w:val="auto"/>
              <w:rPr>
                <w:rFonts w:hint="default"/>
              </w:rPr>
            </w:pPr>
            <w:r>
              <w:rPr>
                <w:rFonts w:hint="eastAsia"/>
              </w:rPr>
              <w:t>調査員調査又はオンライン調査</w:t>
            </w:r>
          </w:p>
          <w:p>
            <w:pPr>
              <w:pStyle w:val="0"/>
              <w:widowControl w:val="1"/>
              <w:overflowPunct w:val="1"/>
              <w:adjustRightInd w:val="1"/>
              <w:jc w:val="left"/>
              <w:textAlignment w:val="auto"/>
              <w:rPr>
                <w:rFonts w:hint="default"/>
                <w:sz w:val="20"/>
              </w:rPr>
            </w:pPr>
            <w:r>
              <w:rPr>
                <w:rFonts w:hint="eastAsia"/>
              </w:rPr>
              <w:t>（調査員調査は自計調査を基本とし、面接調査も可能。）</w:t>
            </w:r>
          </w:p>
        </w:tc>
      </w:tr>
    </w:tbl>
    <w:p>
      <w:pPr>
        <w:pStyle w:val="0"/>
        <w:adjustRightInd w:val="1"/>
        <w:spacing w:line="280" w:lineRule="exact"/>
        <w:ind w:right="57"/>
        <w:rPr>
          <w:rFonts w:hint="default"/>
          <w:color w:val="auto"/>
        </w:rPr>
      </w:pPr>
    </w:p>
    <w:p>
      <w:pPr>
        <w:pStyle w:val="0"/>
        <w:adjustRightInd w:val="1"/>
        <w:spacing w:line="280" w:lineRule="exact"/>
        <w:ind w:right="57"/>
        <w:rPr>
          <w:rFonts w:hint="default"/>
          <w:color w:val="auto"/>
        </w:rPr>
      </w:pPr>
    </w:p>
    <w:p>
      <w:pPr>
        <w:pStyle w:val="0"/>
        <w:adjustRightInd w:val="1"/>
        <w:spacing w:line="280" w:lineRule="exact"/>
        <w:ind w:right="57"/>
        <w:rPr>
          <w:rFonts w:hint="default"/>
          <w:color w:val="auto"/>
        </w:rPr>
      </w:pPr>
      <w:r>
        <w:rPr>
          <w:rFonts w:hint="eastAsia" w:ascii="ＭＳ ゴシック" w:hAnsi="ＭＳ ゴシック" w:eastAsia="ＭＳ ゴシック"/>
          <w:color w:val="auto"/>
          <w:sz w:val="24"/>
        </w:rPr>
        <w:t>４　調査事項</w:t>
      </w:r>
    </w:p>
    <w:p>
      <w:pPr>
        <w:pStyle w:val="0"/>
        <w:adjustRightInd w:val="1"/>
        <w:spacing w:line="280" w:lineRule="exact"/>
        <w:ind w:right="57" w:rightChars="0" w:firstLine="440" w:firstLineChars="200"/>
        <w:rPr>
          <w:rFonts w:hint="default"/>
          <w:color w:val="auto"/>
        </w:rPr>
      </w:pPr>
      <w:r>
        <w:rPr>
          <w:rFonts w:hint="eastAsia"/>
          <w:color w:val="auto"/>
        </w:rPr>
        <w:t>ア　</w:t>
      </w:r>
      <w:r>
        <w:rPr>
          <w:rFonts w:hint="default" w:ascii="ＭＳ 明朝" w:hAnsi="ＭＳ 明朝"/>
          <w:color w:val="auto"/>
        </w:rPr>
        <w:t>経営の態様</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イ</w:t>
      </w:r>
      <w:r>
        <w:rPr>
          <w:rFonts w:hint="eastAsia"/>
          <w:color w:val="auto"/>
        </w:rPr>
        <w:t>　</w:t>
      </w:r>
      <w:r>
        <w:rPr>
          <w:rFonts w:hint="default" w:ascii="ＭＳ 明朝" w:hAnsi="ＭＳ 明朝"/>
          <w:color w:val="auto"/>
        </w:rPr>
        <w:t>世帯の状況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ウ</w:t>
      </w:r>
      <w:r>
        <w:rPr>
          <w:rFonts w:hint="eastAsia"/>
          <w:color w:val="auto"/>
        </w:rPr>
        <w:t>　</w:t>
      </w:r>
      <w:r>
        <w:rPr>
          <w:rFonts w:hint="default" w:ascii="ＭＳ 明朝" w:hAnsi="ＭＳ 明朝"/>
          <w:color w:val="auto"/>
        </w:rPr>
        <w:t>農業労働力</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エ</w:t>
      </w:r>
      <w:r>
        <w:rPr>
          <w:rFonts w:hint="eastAsia"/>
          <w:color w:val="auto"/>
        </w:rPr>
        <w:t>　</w:t>
      </w:r>
      <w:r>
        <w:rPr>
          <w:rFonts w:hint="default" w:ascii="ＭＳ 明朝" w:hAnsi="ＭＳ 明朝"/>
          <w:color w:val="auto"/>
        </w:rPr>
        <w:t>経営耕地面積等</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オ</w:t>
      </w:r>
      <w:r>
        <w:rPr>
          <w:rFonts w:hint="eastAsia"/>
          <w:color w:val="auto"/>
        </w:rPr>
        <w:t>　</w:t>
      </w:r>
      <w:r>
        <w:rPr>
          <w:rFonts w:hint="default" w:ascii="ＭＳ 明朝" w:hAnsi="ＭＳ 明朝"/>
          <w:color w:val="auto"/>
        </w:rPr>
        <w:t>農作物の作付面積等及び家畜の飼養状況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カ</w:t>
      </w:r>
      <w:r>
        <w:rPr>
          <w:rFonts w:hint="eastAsia"/>
          <w:color w:val="auto"/>
        </w:rPr>
        <w:t>　</w:t>
      </w:r>
      <w:r>
        <w:rPr>
          <w:rFonts w:hint="default" w:ascii="ＭＳ 明朝" w:hAnsi="ＭＳ 明朝"/>
          <w:color w:val="auto"/>
        </w:rPr>
        <w:t>農産物の販売金額等</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キ</w:t>
      </w:r>
      <w:r>
        <w:rPr>
          <w:rFonts w:hint="eastAsia"/>
          <w:color w:val="auto"/>
        </w:rPr>
        <w:t>　</w:t>
      </w:r>
      <w:r>
        <w:rPr>
          <w:rFonts w:hint="default" w:ascii="ＭＳ 明朝" w:hAnsi="ＭＳ 明朝"/>
          <w:color w:val="auto"/>
        </w:rPr>
        <w:t>農作業受託の状況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ク</w:t>
      </w:r>
      <w:r>
        <w:rPr>
          <w:rFonts w:hint="eastAsia"/>
          <w:color w:val="auto"/>
        </w:rPr>
        <w:t>　</w:t>
      </w:r>
      <w:r>
        <w:rPr>
          <w:rFonts w:hint="default" w:ascii="ＭＳ 明朝" w:hAnsi="ＭＳ 明朝"/>
          <w:color w:val="auto"/>
        </w:rPr>
        <w:t>農業経営の特徴</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ケ</w:t>
      </w:r>
      <w:r>
        <w:rPr>
          <w:rFonts w:hint="eastAsia"/>
          <w:color w:val="auto"/>
        </w:rPr>
        <w:t>　</w:t>
      </w:r>
      <w:r>
        <w:rPr>
          <w:rFonts w:hint="default" w:ascii="ＭＳ 明朝" w:hAnsi="ＭＳ 明朝"/>
          <w:color w:val="auto"/>
        </w:rPr>
        <w:t>農業生産関連事業</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コ</w:t>
      </w:r>
      <w:r>
        <w:rPr>
          <w:rFonts w:hint="eastAsia"/>
          <w:color w:val="auto"/>
        </w:rPr>
        <w:t>　</w:t>
      </w:r>
      <w:r>
        <w:rPr>
          <w:rFonts w:hint="default" w:ascii="ＭＳ 明朝" w:hAnsi="ＭＳ 明朝"/>
          <w:color w:val="auto"/>
        </w:rPr>
        <w:t>林業労働力</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サ</w:t>
      </w:r>
      <w:r>
        <w:rPr>
          <w:rFonts w:hint="eastAsia"/>
          <w:color w:val="auto"/>
        </w:rPr>
        <w:t>　</w:t>
      </w:r>
      <w:r>
        <w:rPr>
          <w:rFonts w:hint="default" w:ascii="ＭＳ 明朝" w:hAnsi="ＭＳ 明朝"/>
          <w:color w:val="auto"/>
        </w:rPr>
        <w:t>林</w:t>
      </w:r>
      <w:r>
        <w:rPr>
          <w:rFonts w:hint="eastAsia"/>
          <w:color w:val="auto"/>
        </w:rPr>
        <w:t>産物</w:t>
      </w:r>
      <w:r>
        <w:rPr>
          <w:rFonts w:hint="default" w:ascii="ＭＳ 明朝" w:hAnsi="ＭＳ 明朝"/>
          <w:color w:val="auto"/>
        </w:rPr>
        <w:t>の販売金額等</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シ</w:t>
      </w:r>
      <w:r>
        <w:rPr>
          <w:rFonts w:hint="eastAsia"/>
          <w:color w:val="auto"/>
        </w:rPr>
        <w:t>　</w:t>
      </w:r>
      <w:r>
        <w:rPr>
          <w:rFonts w:hint="default" w:ascii="ＭＳ 明朝" w:hAnsi="ＭＳ 明朝"/>
          <w:color w:val="auto"/>
        </w:rPr>
        <w:t>林業作業の委託及び受託の状況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ス</w:t>
      </w:r>
      <w:r>
        <w:rPr>
          <w:rFonts w:hint="eastAsia"/>
          <w:color w:val="auto"/>
        </w:rPr>
        <w:t>　</w:t>
      </w:r>
      <w:r>
        <w:rPr>
          <w:rFonts w:hint="default" w:ascii="ＭＳ 明朝" w:hAnsi="ＭＳ 明朝"/>
          <w:color w:val="auto"/>
        </w:rPr>
        <w:t>保有山林面積</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セ</w:t>
      </w:r>
      <w:r>
        <w:rPr>
          <w:rFonts w:hint="eastAsia"/>
          <w:color w:val="auto"/>
        </w:rPr>
        <w:t>　</w:t>
      </w:r>
      <w:r>
        <w:rPr>
          <w:rFonts w:hint="default" w:ascii="ＭＳ 明朝" w:hAnsi="ＭＳ 明朝"/>
          <w:color w:val="auto"/>
        </w:rPr>
        <w:t>育林面積等及び素材生産量</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ソ</w:t>
      </w:r>
      <w:r>
        <w:rPr>
          <w:rFonts w:hint="eastAsia"/>
          <w:color w:val="auto"/>
        </w:rPr>
        <w:t>　</w:t>
      </w:r>
      <w:r>
        <w:rPr>
          <w:rFonts w:hint="default" w:ascii="ＭＳ 明朝" w:hAnsi="ＭＳ 明朝"/>
          <w:color w:val="auto"/>
        </w:rPr>
        <w:t>その他農林業経営体の現況</w:t>
      </w:r>
    </w:p>
    <w:p>
      <w:pPr>
        <w:pStyle w:val="0"/>
        <w:adjustRightInd w:val="1"/>
        <w:rPr>
          <w:rFonts w:hint="default"/>
          <w:color w:val="auto"/>
        </w:rPr>
      </w:pPr>
    </w:p>
    <w:p>
      <w:pPr>
        <w:pStyle w:val="2"/>
        <w:rPr>
          <w:rFonts w:hint="default"/>
          <w:color w:val="auto"/>
        </w:rPr>
      </w:pPr>
      <w:r>
        <w:rPr>
          <w:rFonts w:hint="eastAsia"/>
          <w:color w:val="auto"/>
        </w:rPr>
        <w:t>５　調査期日</w:t>
      </w:r>
    </w:p>
    <w:p>
      <w:pPr>
        <w:pStyle w:val="24"/>
        <w:ind w:left="220" w:firstLine="240"/>
        <w:rPr>
          <w:rFonts w:hint="default"/>
          <w:color w:val="auto"/>
          <w:sz w:val="24"/>
        </w:rPr>
      </w:pPr>
      <w:r>
        <w:rPr>
          <w:rFonts w:hint="eastAsia"/>
          <w:color w:val="auto"/>
          <w:sz w:val="24"/>
        </w:rPr>
        <w:t>令和２年２月１日現在で実施した。</w:t>
      </w:r>
    </w:p>
    <w:p>
      <w:pPr>
        <w:pStyle w:val="0"/>
        <w:adjustRightInd w:val="1"/>
        <w:rPr>
          <w:rFonts w:hint="default"/>
          <w:color w:val="auto"/>
        </w:rPr>
      </w:pPr>
    </w:p>
    <w:p>
      <w:pPr>
        <w:pStyle w:val="2"/>
        <w:rPr>
          <w:rFonts w:hint="default"/>
          <w:color w:val="auto"/>
        </w:rPr>
      </w:pPr>
      <w:r>
        <w:rPr>
          <w:rFonts w:hint="eastAsia"/>
          <w:color w:val="auto"/>
        </w:rPr>
        <w:t>６　調査方法</w:t>
      </w:r>
    </w:p>
    <w:p>
      <w:pPr>
        <w:pStyle w:val="24"/>
        <w:ind w:left="440" w:leftChars="200" w:firstLine="240"/>
        <w:rPr>
          <w:rFonts w:hint="default"/>
          <w:color w:val="auto"/>
          <w:sz w:val="24"/>
        </w:rPr>
      </w:pPr>
      <w:r>
        <w:rPr>
          <w:rFonts w:hint="eastAsia"/>
          <w:color w:val="auto"/>
          <w:sz w:val="24"/>
        </w:rPr>
        <w:t>統計調査員が、調査対象に対し調査票を配布・回収する自計調査（被調査者が自ら回答を調査票に記入する方法）の方法により行った。その際、調査対象から面接調査（他計報告調査）の申出があった場合には、統計調査員による調査対象に対する面接調査（他計報告調査）の方法をとった。</w:t>
      </w:r>
    </w:p>
    <w:p>
      <w:pPr>
        <w:pStyle w:val="24"/>
        <w:ind w:left="440" w:leftChars="200" w:firstLine="240"/>
        <w:rPr>
          <w:rFonts w:hint="default"/>
          <w:color w:val="auto"/>
          <w:sz w:val="24"/>
        </w:rPr>
      </w:pPr>
      <w:r>
        <w:rPr>
          <w:rFonts w:hint="eastAsia"/>
          <w:color w:val="auto"/>
          <w:sz w:val="24"/>
        </w:rPr>
        <w:t>なお、調査対象の協力が得られる場合は、オンラインにより調査票を回収する方法も可能とした。</w:t>
      </w:r>
    </w:p>
    <w:p>
      <w:pPr>
        <w:pStyle w:val="24"/>
        <w:ind w:left="440" w:leftChars="200" w:firstLine="240"/>
        <w:rPr>
          <w:rFonts w:hint="default"/>
          <w:color w:val="auto"/>
          <w:sz w:val="24"/>
        </w:rPr>
      </w:pPr>
      <w:r>
        <w:rPr>
          <w:rFonts w:hint="eastAsia"/>
          <w:color w:val="auto"/>
          <w:sz w:val="24"/>
        </w:rPr>
        <w:t>ただし、家畜伝染病の発生等に起因して統計調査員の訪問が困難な場合は、郵送により調査票を配布、回収する方法も可能とした。</w:t>
      </w:r>
    </w:p>
    <w:p>
      <w:pPr>
        <w:pStyle w:val="24"/>
        <w:ind w:left="440" w:leftChars="200" w:firstLine="240"/>
        <w:rPr>
          <w:rFonts w:hint="default"/>
          <w:sz w:val="24"/>
        </w:rPr>
      </w:pPr>
    </w:p>
    <w:p>
      <w:pPr>
        <w:pStyle w:val="2"/>
        <w:rPr>
          <w:rFonts w:hint="default"/>
          <w:color w:val="auto"/>
        </w:rPr>
      </w:pPr>
      <w:r>
        <w:rPr>
          <w:rFonts w:hint="eastAsia"/>
          <w:color w:val="auto"/>
        </w:rPr>
        <w:t>７　</w:t>
      </w:r>
      <w:r>
        <w:rPr>
          <w:rFonts w:hint="eastAsia"/>
          <w:color w:val="auto"/>
        </w:rPr>
        <w:t>2020</w:t>
      </w:r>
      <w:r>
        <w:rPr>
          <w:rFonts w:hint="eastAsia"/>
          <w:color w:val="auto"/>
        </w:rPr>
        <w:t>年調査の主な変更点</w:t>
      </w:r>
    </w:p>
    <w:p>
      <w:pPr>
        <w:pStyle w:val="4"/>
        <w:ind w:left="198" w:leftChars="90" w:firstLine="240" w:firstLineChars="100"/>
        <w:rPr>
          <w:rFonts w:hint="default"/>
          <w:sz w:val="24"/>
        </w:rPr>
      </w:pPr>
      <w:r>
        <w:rPr>
          <w:rFonts w:hint="eastAsia"/>
          <w:sz w:val="24"/>
        </w:rPr>
        <w:t>ア　調査対象の属性区分の変更</w:t>
      </w:r>
    </w:p>
    <w:p>
      <w:pPr>
        <w:pStyle w:val="24"/>
        <w:ind w:left="708" w:leftChars="322" w:firstLine="240"/>
        <w:rPr>
          <w:rFonts w:hint="default"/>
          <w:sz w:val="24"/>
        </w:rPr>
      </w:pPr>
      <w:r>
        <w:rPr>
          <w:rFonts w:hint="eastAsia"/>
          <w:sz w:val="24"/>
        </w:rPr>
        <w:t>2005</w:t>
      </w:r>
      <w:r>
        <w:rPr>
          <w:rFonts w:hint="eastAsia"/>
          <w:sz w:val="24"/>
        </w:rPr>
        <w:t>年農林業センサスで農業経営体の概念を導入し、</w:t>
      </w:r>
      <w:r>
        <w:rPr>
          <w:rFonts w:hint="eastAsia"/>
          <w:sz w:val="24"/>
        </w:rPr>
        <w:t>2015</w:t>
      </w:r>
      <w:r>
        <w:rPr>
          <w:rFonts w:hint="eastAsia"/>
          <w:sz w:val="24"/>
        </w:rPr>
        <w:t>年調査までは、家族経営体と組織経営体に区分していた。</w:t>
      </w:r>
      <w:r>
        <w:rPr>
          <w:rFonts w:hint="eastAsia"/>
          <w:sz w:val="24"/>
        </w:rPr>
        <w:t>2020</w:t>
      </w:r>
      <w:r>
        <w:rPr>
          <w:rFonts w:hint="eastAsia"/>
          <w:sz w:val="24"/>
        </w:rPr>
        <w:t>年調査では、法人経営を一体的に捉えるとの考えのもと、法人化している家族経営体と組織経営体を統合し、非法人の組織経営体と併せて団体経営体とし、非法人の家族経営体を個人経営体とした。</w:t>
      </w:r>
    </w:p>
    <w:p>
      <w:pPr>
        <w:pStyle w:val="4"/>
        <w:ind w:left="440"/>
        <w:rPr>
          <w:rFonts w:hint="default"/>
          <w:sz w:val="24"/>
        </w:rPr>
      </w:pPr>
      <w:r>
        <w:rPr>
          <w:rFonts w:hint="eastAsia"/>
          <w:sz w:val="24"/>
        </w:rPr>
        <w:t>イ　調査項目の見直し</w:t>
      </w:r>
    </w:p>
    <w:p>
      <w:pPr>
        <w:pStyle w:val="5"/>
        <w:ind w:left="550"/>
        <w:rPr>
          <w:rFonts w:hint="default"/>
          <w:sz w:val="24"/>
        </w:rPr>
      </w:pPr>
      <w:r>
        <w:rPr>
          <w:rFonts w:hint="eastAsia"/>
          <w:sz w:val="24"/>
        </w:rPr>
        <w:t>(</w:t>
      </w:r>
      <w:r>
        <w:rPr>
          <w:rFonts w:hint="eastAsia"/>
          <w:sz w:val="24"/>
        </w:rPr>
        <w:t>ｱ</w:t>
      </w:r>
      <w:r>
        <w:rPr>
          <w:rFonts w:hint="eastAsia"/>
          <w:sz w:val="24"/>
        </w:rPr>
        <w:t>)</w:t>
      </w:r>
      <w:r>
        <w:rPr>
          <w:rFonts w:hint="eastAsia"/>
          <w:sz w:val="24"/>
        </w:rPr>
        <w:t>　調査項目の新設</w:t>
      </w:r>
    </w:p>
    <w:p>
      <w:pPr>
        <w:pStyle w:val="5"/>
        <w:ind w:left="660" w:leftChars="300" w:firstLine="240" w:firstLineChars="100"/>
        <w:rPr>
          <w:rFonts w:hint="default"/>
          <w:sz w:val="24"/>
        </w:rPr>
      </w:pPr>
      <w:r>
        <w:rPr>
          <w:rFonts w:hint="eastAsia"/>
          <w:sz w:val="24"/>
        </w:rPr>
        <w:t>ａ　青色申告の実施の有無、正規の簿記、簡易簿記等の別</w:t>
      </w:r>
    </w:p>
    <w:p>
      <w:pPr>
        <w:pStyle w:val="5"/>
        <w:ind w:left="660" w:leftChars="300" w:firstLine="240" w:firstLineChars="100"/>
        <w:rPr>
          <w:rFonts w:hint="default"/>
          <w:sz w:val="24"/>
        </w:rPr>
      </w:pPr>
      <w:r>
        <w:rPr>
          <w:rFonts w:hint="eastAsia"/>
          <w:sz w:val="24"/>
        </w:rPr>
        <w:t>ｂ　有機農業の取組状況</w:t>
      </w:r>
    </w:p>
    <w:p>
      <w:pPr>
        <w:pStyle w:val="5"/>
        <w:ind w:left="660" w:leftChars="300" w:firstLine="240" w:firstLineChars="100"/>
        <w:rPr>
          <w:rFonts w:hint="default"/>
          <w:sz w:val="24"/>
        </w:rPr>
      </w:pPr>
      <w:r>
        <w:rPr>
          <w:rFonts w:hint="eastAsia"/>
          <w:sz w:val="24"/>
        </w:rPr>
        <w:t>ｃ　農業経営へのデータ活用の状況</w:t>
      </w:r>
    </w:p>
    <w:p>
      <w:pPr>
        <w:pStyle w:val="5"/>
        <w:ind w:left="550"/>
        <w:rPr>
          <w:rFonts w:hint="default"/>
          <w:sz w:val="24"/>
        </w:rPr>
      </w:pPr>
      <w:r>
        <w:rPr>
          <w:rFonts w:hint="eastAsia"/>
          <w:sz w:val="24"/>
        </w:rPr>
        <w:t>(</w:t>
      </w:r>
      <w:r>
        <w:rPr>
          <w:rFonts w:hint="eastAsia"/>
          <w:sz w:val="24"/>
        </w:rPr>
        <w:t>ｲ</w:t>
      </w:r>
      <w:r>
        <w:rPr>
          <w:rFonts w:hint="eastAsia"/>
          <w:sz w:val="24"/>
        </w:rPr>
        <w:t>)</w:t>
      </w:r>
      <w:r>
        <w:rPr>
          <w:rFonts w:hint="eastAsia"/>
          <w:sz w:val="24"/>
        </w:rPr>
        <w:t>　調査項目の削減</w:t>
      </w:r>
    </w:p>
    <w:p>
      <w:pPr>
        <w:pStyle w:val="5"/>
        <w:ind w:left="770" w:leftChars="350" w:firstLine="120" w:firstLineChars="50"/>
        <w:rPr>
          <w:rFonts w:hint="default"/>
          <w:sz w:val="24"/>
        </w:rPr>
      </w:pPr>
      <w:r>
        <w:rPr>
          <w:rFonts w:hint="eastAsia"/>
          <w:sz w:val="24"/>
        </w:rPr>
        <w:t>ａ　自営農業とその他の仕事の従事日数の多少（農業就業人口の区分に利用）</w:t>
      </w:r>
    </w:p>
    <w:p>
      <w:pPr>
        <w:pStyle w:val="5"/>
        <w:ind w:left="1133" w:leftChars="405" w:hanging="242" w:hangingChars="101"/>
        <w:rPr>
          <w:rFonts w:hint="default"/>
          <w:sz w:val="24"/>
        </w:rPr>
      </w:pPr>
      <w:r>
        <w:rPr>
          <w:rFonts w:hint="eastAsia"/>
          <w:sz w:val="24"/>
        </w:rPr>
        <w:t>ｂ　世帯員の中で過去１</w:t>
      </w:r>
      <w:r>
        <w:rPr>
          <w:rFonts w:hint="default"/>
          <w:sz w:val="24"/>
        </w:rPr>
        <w:t>年間に自営農業以外の仕事に従事した方</w:t>
      </w:r>
      <w:r>
        <w:rPr>
          <w:rFonts w:hint="eastAsia"/>
          <w:sz w:val="24"/>
        </w:rPr>
        <w:t>の有無</w:t>
      </w:r>
      <w:r>
        <w:rPr>
          <w:rFonts w:hint="default"/>
          <w:sz w:val="24"/>
        </w:rPr>
        <w:t>（専兼</w:t>
      </w:r>
      <w:r>
        <w:rPr>
          <w:rFonts w:hint="eastAsia"/>
          <w:sz w:val="24"/>
        </w:rPr>
        <w:t>　</w:t>
      </w:r>
      <w:r>
        <w:rPr>
          <w:rFonts w:hint="default"/>
          <w:sz w:val="24"/>
        </w:rPr>
        <w:t>業</w:t>
      </w:r>
      <w:r>
        <w:rPr>
          <w:rFonts w:hint="eastAsia"/>
          <w:sz w:val="24"/>
        </w:rPr>
        <w:t>別</w:t>
      </w:r>
      <w:r>
        <w:rPr>
          <w:rFonts w:hint="default"/>
          <w:sz w:val="24"/>
        </w:rPr>
        <w:t>の分類</w:t>
      </w:r>
      <w:r>
        <w:rPr>
          <w:rFonts w:hint="eastAsia"/>
          <w:sz w:val="24"/>
        </w:rPr>
        <w:t>に利用</w:t>
      </w:r>
      <w:r>
        <w:rPr>
          <w:rFonts w:hint="default"/>
          <w:sz w:val="24"/>
        </w:rPr>
        <w:t>）</w:t>
      </w:r>
    </w:p>
    <w:p>
      <w:pPr>
        <w:pStyle w:val="5"/>
        <w:ind w:left="1133" w:leftChars="405" w:hanging="242" w:hangingChars="101"/>
        <w:rPr>
          <w:rFonts w:hint="default"/>
          <w:sz w:val="24"/>
        </w:rPr>
      </w:pPr>
      <w:r>
        <w:rPr>
          <w:rFonts w:hint="eastAsia"/>
          <w:sz w:val="24"/>
        </w:rPr>
        <w:t>ｃ　田、畑、樹園地の耕作放棄地面積</w:t>
      </w:r>
    </w:p>
    <w:p>
      <w:pPr>
        <w:pStyle w:val="5"/>
        <w:ind w:left="1133" w:leftChars="405" w:hanging="242" w:hangingChars="101"/>
        <w:rPr>
          <w:rFonts w:hint="default"/>
          <w:sz w:val="24"/>
        </w:rPr>
      </w:pPr>
      <w:r>
        <w:rPr>
          <w:rFonts w:hint="eastAsia"/>
          <w:sz w:val="24"/>
        </w:rPr>
        <w:t>ｄ　農業機械の所有台数</w:t>
      </w:r>
    </w:p>
    <w:p>
      <w:pPr>
        <w:pStyle w:val="5"/>
        <w:ind w:left="1133" w:leftChars="405" w:hanging="242" w:hangingChars="101"/>
        <w:rPr>
          <w:rFonts w:hint="default"/>
          <w:sz w:val="24"/>
        </w:rPr>
      </w:pPr>
      <w:r>
        <w:rPr>
          <w:rFonts w:hint="eastAsia"/>
          <w:sz w:val="24"/>
        </w:rPr>
        <w:t>ｅ　農作業の委託状況</w:t>
      </w:r>
    </w:p>
    <w:p>
      <w:pPr>
        <w:pStyle w:val="5"/>
        <w:ind w:left="1133" w:leftChars="405" w:hanging="242" w:hangingChars="101"/>
        <w:rPr>
          <w:rFonts w:hint="default"/>
          <w:sz w:val="24"/>
        </w:rPr>
      </w:pPr>
      <w:r>
        <w:rPr>
          <w:rFonts w:hint="eastAsia"/>
          <w:sz w:val="24"/>
        </w:rPr>
        <w:t>ｆ　農外業種からの資本金、出資金提供の有無</w:t>
      </w:r>
    </w:p>
    <w:p>
      <w:pPr>
        <w:pStyle w:val="0"/>
        <w:spacing w:line="0" w:lineRule="atLeast"/>
        <w:rPr>
          <w:rFonts w:hint="default"/>
          <w:color w:val="auto"/>
        </w:rPr>
      </w:pPr>
    </w:p>
    <w:p>
      <w:pPr>
        <w:pStyle w:val="2"/>
        <w:rPr>
          <w:rFonts w:hint="default"/>
          <w:color w:val="auto"/>
        </w:rPr>
      </w:pPr>
      <w:r>
        <w:rPr>
          <w:rFonts w:hint="eastAsia"/>
          <w:color w:val="auto"/>
        </w:rPr>
        <w:t>８　集計方法</w:t>
      </w:r>
    </w:p>
    <w:p>
      <w:pPr>
        <w:pStyle w:val="0"/>
        <w:adjustRightInd w:val="1"/>
        <w:ind w:left="220" w:leftChars="100" w:firstLine="240" w:firstLineChars="100"/>
        <w:rPr>
          <w:rFonts w:hint="default"/>
          <w:color w:val="auto"/>
          <w:sz w:val="24"/>
        </w:rPr>
      </w:pPr>
      <w:r>
        <w:rPr>
          <w:rFonts w:hint="eastAsia"/>
          <w:color w:val="auto"/>
          <w:sz w:val="24"/>
        </w:rPr>
        <w:t>本調査は全数調査であることから、集計は有効回答となった調査票の単純積み上げにより行った。</w:t>
      </w:r>
    </w:p>
    <w:p>
      <w:pPr>
        <w:pStyle w:val="0"/>
        <w:adjustRightInd w:val="1"/>
        <w:ind w:left="220" w:leftChars="100" w:firstLine="240" w:firstLineChars="100"/>
        <w:rPr>
          <w:rFonts w:hint="default"/>
          <w:color w:val="auto"/>
          <w:sz w:val="24"/>
        </w:rPr>
      </w:pPr>
      <w:r>
        <w:rPr>
          <w:rFonts w:hint="eastAsia"/>
          <w:color w:val="auto"/>
          <w:sz w:val="24"/>
        </w:rPr>
        <w:t>また、未記入の回答必須項目がある一部の調査票のうち、</w:t>
      </w:r>
    </w:p>
    <w:p>
      <w:pPr>
        <w:pStyle w:val="0"/>
        <w:adjustRightInd w:val="1"/>
        <w:ind w:firstLine="480" w:firstLineChars="200"/>
        <w:rPr>
          <w:rFonts w:hint="default"/>
          <w:color w:val="auto"/>
          <w:sz w:val="24"/>
        </w:rPr>
      </w:pPr>
      <w:r>
        <w:rPr>
          <w:rFonts w:hint="eastAsia"/>
          <w:color w:val="auto"/>
          <w:sz w:val="24"/>
        </w:rPr>
        <w:t>①　当該調査票の回答が得られた項目を基に補完することが可能な項目</w:t>
      </w:r>
    </w:p>
    <w:p>
      <w:pPr>
        <w:pStyle w:val="0"/>
        <w:adjustRightInd w:val="1"/>
        <w:ind w:left="708" w:leftChars="218" w:hanging="228" w:hangingChars="95"/>
        <w:rPr>
          <w:rFonts w:hint="default"/>
          <w:color w:val="auto"/>
          <w:sz w:val="24"/>
        </w:rPr>
      </w:pPr>
      <w:r>
        <w:rPr>
          <w:rFonts w:hint="eastAsia"/>
          <w:color w:val="auto"/>
          <w:sz w:val="24"/>
        </w:rPr>
        <w:t>②　①以外の項目であっても、選択式の項目であり、特定の選択肢に当てはめて補完することにより他の調査項目との不整合が生じない項目に限り、必要な補完を行った上で、有効回答となった調査票も集計対象とした。</w:t>
      </w:r>
    </w:p>
    <w:p>
      <w:pPr>
        <w:pStyle w:val="0"/>
        <w:adjustRightInd w:val="1"/>
        <w:ind w:left="708" w:leftChars="218" w:hanging="228" w:hangingChars="95"/>
        <w:rPr>
          <w:rFonts w:hint="default"/>
          <w:color w:val="auto"/>
          <w:sz w:val="24"/>
        </w:rPr>
      </w:pPr>
    </w:p>
    <w:p>
      <w:pPr>
        <w:pStyle w:val="2"/>
        <w:rPr>
          <w:rFonts w:hint="default"/>
        </w:rPr>
      </w:pPr>
      <w:r>
        <w:rPr>
          <w:rFonts w:hint="eastAsia"/>
        </w:rPr>
        <w:t>９　用語の解説</w:t>
      </w:r>
    </w:p>
    <w:p>
      <w:pPr>
        <w:pStyle w:val="3"/>
        <w:ind w:left="110"/>
        <w:rPr>
          <w:rFonts w:hint="default"/>
        </w:rPr>
      </w:pPr>
      <w:r>
        <w:rPr>
          <w:rFonts w:hint="default"/>
        </w:rPr>
        <w:t>(1)</w:t>
      </w:r>
      <w:r>
        <w:rPr>
          <w:rFonts w:hint="eastAsia"/>
        </w:rPr>
        <w:t>　</w:t>
      </w:r>
      <w:r>
        <w:rPr>
          <w:rFonts w:hint="default"/>
        </w:rPr>
        <w:t>農林業経営体</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792"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農林業経営体</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rPr>
                <w:rFonts w:hint="default"/>
                <w:color w:val="auto"/>
              </w:rPr>
            </w:pPr>
            <w:r>
              <w:rPr>
                <w:rFonts w:hint="eastAsia"/>
                <w:color w:val="auto"/>
              </w:rPr>
              <w:t xml:space="preserve">  </w:t>
            </w:r>
            <w:r>
              <w:rPr>
                <w:rFonts w:hint="eastAsia"/>
                <w:color w:val="auto"/>
              </w:rPr>
              <w:t>農林産物の生産を行うか又は委託を受けて農林業作業を行い、生産又は作業に係る面積・頭羽数が、次の規定のいずれかに該当する事業を行う者をいう。</w:t>
            </w:r>
          </w:p>
          <w:p>
            <w:pPr>
              <w:pStyle w:val="0"/>
              <w:suppressAutoHyphens w:val="1"/>
              <w:autoSpaceDE w:val="0"/>
              <w:autoSpaceDN w:val="0"/>
              <w:spacing w:line="342" w:lineRule="atLeast"/>
              <w:ind w:firstLine="220" w:firstLineChars="100"/>
              <w:rPr>
                <w:rFonts w:hint="default"/>
                <w:color w:val="auto"/>
              </w:rPr>
            </w:pPr>
            <w:r>
              <w:rPr>
                <w:rFonts w:hint="default"/>
                <w:color w:val="auto"/>
              </w:rPr>
              <w:t>(1)</w:t>
            </w:r>
            <w:r>
              <w:rPr>
                <w:rFonts w:hint="default" w:ascii="ＭＳ 明朝" w:hAnsi="ＭＳ 明朝"/>
                <w:color w:val="auto"/>
              </w:rPr>
              <w:t>　経営耕地面積が</w:t>
            </w:r>
            <w:r>
              <w:rPr>
                <w:rFonts w:hint="default"/>
                <w:color w:val="auto"/>
              </w:rPr>
              <w:t>30</w:t>
            </w:r>
            <w:r>
              <w:rPr>
                <w:rFonts w:hint="default" w:ascii="ＭＳ 明朝" w:hAnsi="ＭＳ 明朝"/>
                <w:color w:val="auto"/>
              </w:rPr>
              <w:t>ａ以上の規模の農業</w:t>
            </w:r>
          </w:p>
          <w:p>
            <w:pPr>
              <w:pStyle w:val="0"/>
              <w:suppressAutoHyphens w:val="1"/>
              <w:autoSpaceDE w:val="0"/>
              <w:autoSpaceDN w:val="0"/>
              <w:spacing w:line="342" w:lineRule="atLeast"/>
              <w:ind w:left="550" w:leftChars="100" w:hanging="330" w:hangingChars="150"/>
              <w:rPr>
                <w:rFonts w:hint="default"/>
                <w:color w:val="auto"/>
              </w:rPr>
            </w:pPr>
            <w:r>
              <w:rPr>
                <w:rFonts w:hint="default"/>
                <w:color w:val="auto"/>
              </w:rPr>
              <w:t>(2)</w:t>
            </w:r>
            <w:r>
              <w:rPr>
                <w:rFonts w:hint="default" w:ascii="ＭＳ 明朝" w:hAnsi="ＭＳ 明朝"/>
                <w:color w:val="auto"/>
              </w:rPr>
              <w:t>　農作物の作付面積</w:t>
            </w:r>
            <w:r>
              <w:rPr>
                <w:rFonts w:hint="eastAsia"/>
                <w:color w:val="auto"/>
              </w:rPr>
              <w:t>又は</w:t>
            </w:r>
            <w:r>
              <w:rPr>
                <w:rFonts w:hint="default" w:ascii="ＭＳ 明朝" w:hAnsi="ＭＳ 明朝"/>
                <w:color w:val="auto"/>
              </w:rPr>
              <w:t>栽培面積、家畜の飼養頭羽数</w:t>
            </w:r>
            <w:r>
              <w:rPr>
                <w:rFonts w:hint="eastAsia"/>
                <w:color w:val="auto"/>
              </w:rPr>
              <w:t>又</w:t>
            </w:r>
            <w:r>
              <w:rPr>
                <w:rFonts w:hint="default" w:ascii="ＭＳ 明朝" w:hAnsi="ＭＳ 明朝"/>
                <w:color w:val="auto"/>
              </w:rPr>
              <w:t>は出荷羽数、その他の事業の規模が次の農林業経営体の基準以上の農業</w:t>
            </w:r>
          </w:p>
          <w:p>
            <w:pPr>
              <w:pStyle w:val="0"/>
              <w:tabs>
                <w:tab w:val="left" w:leader="none" w:pos="4321"/>
                <w:tab w:val="left" w:leader="none" w:pos="4501"/>
              </w:tabs>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①</w:t>
            </w:r>
            <w:r>
              <w:rPr>
                <w:rFonts w:hint="default" w:ascii="ＭＳ 明朝" w:hAnsi="ＭＳ 明朝"/>
                <w:color w:val="auto"/>
              </w:rPr>
              <w:t>露地野菜作付面積</w:t>
            </w:r>
            <w:r>
              <w:rPr>
                <w:rFonts w:hint="eastAsia"/>
                <w:color w:val="auto"/>
              </w:rPr>
              <w:t>　　　</w:t>
            </w:r>
            <w:r>
              <w:rPr>
                <w:rFonts w:hint="eastAsia"/>
                <w:color w:val="auto"/>
              </w:rPr>
              <w:t xml:space="preserve"> </w:t>
            </w:r>
            <w:r>
              <w:rPr>
                <w:rFonts w:hint="default"/>
                <w:color w:val="auto"/>
              </w:rPr>
              <w:t xml:space="preserve">      15 </w:t>
            </w:r>
            <w:r>
              <w:rPr>
                <w:rFonts w:hint="default" w:ascii="ＭＳ 明朝" w:hAnsi="ＭＳ 明朝"/>
                <w:color w:val="auto"/>
              </w:rPr>
              <w:t>ａ</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②</w:t>
            </w:r>
            <w:r>
              <w:rPr>
                <w:rFonts w:hint="default" w:ascii="ＭＳ 明朝" w:hAnsi="ＭＳ 明朝"/>
                <w:color w:val="auto"/>
              </w:rPr>
              <w:t>施設野菜栽培面積</w:t>
            </w:r>
            <w:r>
              <w:rPr>
                <w:rFonts w:hint="eastAsia"/>
                <w:color w:val="auto"/>
              </w:rPr>
              <w:t>　　　</w:t>
            </w:r>
            <w:r>
              <w:rPr>
                <w:rFonts w:hint="eastAsia"/>
                <w:color w:val="auto"/>
              </w:rPr>
              <w:t xml:space="preserve"> </w:t>
            </w:r>
            <w:r>
              <w:rPr>
                <w:rFonts w:hint="default"/>
                <w:color w:val="auto"/>
              </w:rPr>
              <w:t xml:space="preserve">     </w:t>
            </w:r>
            <w:r>
              <w:rPr>
                <w:rFonts w:hint="eastAsia"/>
                <w:color w:val="auto"/>
              </w:rPr>
              <w:t>3</w:t>
            </w:r>
            <w:r>
              <w:rPr>
                <w:rFonts w:hint="default"/>
                <w:color w:val="auto"/>
              </w:rPr>
              <w:t xml:space="preserve">50 </w:t>
            </w:r>
            <w:r>
              <w:rPr>
                <w:rFonts w:hint="default" w:ascii="ＭＳ 明朝" w:hAnsi="ＭＳ 明朝"/>
                <w:color w:val="auto"/>
              </w:rPr>
              <w:t>㎡</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③</w:t>
            </w:r>
            <w:r>
              <w:rPr>
                <w:rFonts w:hint="default" w:ascii="ＭＳ 明朝" w:hAnsi="ＭＳ 明朝"/>
                <w:color w:val="auto"/>
              </w:rPr>
              <w:t>果樹栽培面積</w:t>
            </w:r>
            <w:r>
              <w:rPr>
                <w:rFonts w:hint="eastAsia"/>
                <w:color w:val="auto"/>
              </w:rPr>
              <w:t>　　　　　</w:t>
            </w:r>
            <w:r>
              <w:rPr>
                <w:rFonts w:hint="eastAsia"/>
                <w:color w:val="auto"/>
              </w:rPr>
              <w:t xml:space="preserve"> </w:t>
            </w:r>
            <w:r>
              <w:rPr>
                <w:rFonts w:hint="default"/>
                <w:color w:val="auto"/>
              </w:rPr>
              <w:t xml:space="preserve">      10 </w:t>
            </w:r>
            <w:r>
              <w:rPr>
                <w:rFonts w:hint="default" w:ascii="ＭＳ 明朝" w:hAnsi="ＭＳ 明朝"/>
                <w:color w:val="auto"/>
              </w:rPr>
              <w:t>ａ</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④</w:t>
            </w:r>
            <w:r>
              <w:rPr>
                <w:rFonts w:hint="default" w:ascii="ＭＳ 明朝" w:hAnsi="ＭＳ 明朝"/>
                <w:color w:val="auto"/>
              </w:rPr>
              <w:t>露地花き栽培面積</w:t>
            </w:r>
            <w:r>
              <w:rPr>
                <w:rFonts w:hint="eastAsia"/>
                <w:color w:val="auto"/>
              </w:rPr>
              <w:t>　　　</w:t>
            </w:r>
            <w:r>
              <w:rPr>
                <w:rFonts w:hint="eastAsia"/>
                <w:color w:val="auto"/>
              </w:rPr>
              <w:t xml:space="preserve"> </w:t>
            </w:r>
            <w:r>
              <w:rPr>
                <w:rFonts w:hint="default"/>
                <w:color w:val="auto"/>
              </w:rPr>
              <w:t xml:space="preserve">      </w:t>
            </w:r>
            <w:r>
              <w:rPr>
                <w:rFonts w:hint="eastAsia"/>
                <w:color w:val="auto"/>
              </w:rPr>
              <w:t>1</w:t>
            </w:r>
            <w:r>
              <w:rPr>
                <w:rFonts w:hint="default"/>
                <w:color w:val="auto"/>
              </w:rPr>
              <w:t xml:space="preserve">0 </w:t>
            </w:r>
            <w:r>
              <w:rPr>
                <w:rFonts w:hint="default" w:ascii="ＭＳ 明朝" w:hAnsi="ＭＳ 明朝"/>
                <w:color w:val="auto"/>
              </w:rPr>
              <w:t>ａ</w:t>
            </w:r>
          </w:p>
          <w:p>
            <w:pPr>
              <w:pStyle w:val="0"/>
              <w:tabs>
                <w:tab w:val="left" w:leader="none" w:pos="3421"/>
                <w:tab w:val="left" w:leader="none" w:pos="3661"/>
                <w:tab w:val="left" w:leader="none" w:pos="3826"/>
              </w:tabs>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⑤</w:t>
            </w:r>
            <w:r>
              <w:rPr>
                <w:rFonts w:hint="default" w:ascii="ＭＳ 明朝" w:hAnsi="ＭＳ 明朝"/>
                <w:color w:val="auto"/>
              </w:rPr>
              <w:t>施設花き栽培面積</w:t>
            </w:r>
            <w:r>
              <w:rPr>
                <w:rFonts w:hint="eastAsia"/>
                <w:color w:val="auto"/>
              </w:rPr>
              <w:t>　　　</w:t>
            </w:r>
            <w:r>
              <w:rPr>
                <w:rFonts w:hint="eastAsia"/>
                <w:color w:val="auto"/>
              </w:rPr>
              <w:t xml:space="preserve"> </w:t>
            </w:r>
            <w:r>
              <w:rPr>
                <w:rFonts w:hint="default"/>
                <w:color w:val="auto"/>
              </w:rPr>
              <w:t xml:space="preserve">     </w:t>
            </w:r>
            <w:r>
              <w:rPr>
                <w:rFonts w:hint="eastAsia"/>
                <w:color w:val="auto"/>
              </w:rPr>
              <w:t>2</w:t>
            </w:r>
            <w:r>
              <w:rPr>
                <w:rFonts w:hint="default"/>
                <w:color w:val="auto"/>
              </w:rPr>
              <w:t xml:space="preserve">50 </w:t>
            </w:r>
            <w:r>
              <w:rPr>
                <w:rFonts w:hint="default" w:ascii="ＭＳ 明朝" w:hAnsi="ＭＳ 明朝"/>
                <w:color w:val="auto"/>
              </w:rPr>
              <w:t>㎡</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⑥</w:t>
            </w:r>
            <w:r>
              <w:rPr>
                <w:rFonts w:hint="default" w:ascii="ＭＳ 明朝" w:hAnsi="ＭＳ 明朝"/>
                <w:color w:val="auto"/>
              </w:rPr>
              <w:t>搾乳牛飼養頭数</w:t>
            </w:r>
            <w:r>
              <w:rPr>
                <w:rFonts w:hint="eastAsia"/>
                <w:color w:val="auto"/>
              </w:rPr>
              <w:t>　　　　</w:t>
            </w:r>
            <w:r>
              <w:rPr>
                <w:rFonts w:hint="eastAsia"/>
                <w:color w:val="auto"/>
              </w:rPr>
              <w:t xml:space="preserve"> </w:t>
            </w:r>
            <w:r>
              <w:rPr>
                <w:rFonts w:hint="default"/>
                <w:color w:val="auto"/>
              </w:rPr>
              <w:t xml:space="preserve">       </w:t>
            </w:r>
            <w:r>
              <w:rPr>
                <w:rFonts w:hint="eastAsia"/>
                <w:color w:val="auto"/>
              </w:rPr>
              <w:t>1</w:t>
            </w:r>
            <w:r>
              <w:rPr>
                <w:rFonts w:hint="default"/>
                <w:color w:val="auto"/>
              </w:rPr>
              <w:t xml:space="preserve"> </w:t>
            </w:r>
            <w:r>
              <w:rPr>
                <w:rFonts w:hint="default" w:ascii="ＭＳ 明朝" w:hAnsi="ＭＳ 明朝"/>
                <w:color w:val="auto"/>
              </w:rPr>
              <w:t>頭</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⑦</w:t>
            </w:r>
            <w:r>
              <w:rPr>
                <w:rFonts w:hint="default" w:ascii="ＭＳ 明朝" w:hAnsi="ＭＳ 明朝"/>
                <w:color w:val="auto"/>
              </w:rPr>
              <w:t>肥育牛飼養頭数</w:t>
            </w:r>
            <w:r>
              <w:rPr>
                <w:rFonts w:hint="eastAsia"/>
                <w:color w:val="auto"/>
              </w:rPr>
              <w:t>　　　　</w:t>
            </w:r>
            <w:r>
              <w:rPr>
                <w:rFonts w:hint="eastAsia"/>
                <w:color w:val="auto"/>
              </w:rPr>
              <w:t xml:space="preserve"> </w:t>
            </w:r>
            <w:r>
              <w:rPr>
                <w:rFonts w:hint="default"/>
                <w:color w:val="auto"/>
              </w:rPr>
              <w:t xml:space="preserve">       1 </w:t>
            </w:r>
            <w:r>
              <w:rPr>
                <w:rFonts w:hint="default" w:ascii="ＭＳ 明朝" w:hAnsi="ＭＳ 明朝"/>
                <w:color w:val="auto"/>
              </w:rPr>
              <w:t>頭</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⑧</w:t>
            </w:r>
            <w:r>
              <w:rPr>
                <w:rFonts w:hint="default" w:ascii="ＭＳ 明朝" w:hAnsi="ＭＳ 明朝"/>
                <w:color w:val="auto"/>
              </w:rPr>
              <w:t>豚飼養頭</w:t>
            </w:r>
            <w:r>
              <w:rPr>
                <w:rFonts w:hint="eastAsia"/>
                <w:color w:val="auto"/>
              </w:rPr>
              <w:t>数　　　　　　</w:t>
            </w:r>
            <w:r>
              <w:rPr>
                <w:rFonts w:hint="eastAsia"/>
                <w:color w:val="auto"/>
              </w:rPr>
              <w:t xml:space="preserve"> </w:t>
            </w:r>
            <w:r>
              <w:rPr>
                <w:rFonts w:hint="default"/>
                <w:color w:val="auto"/>
              </w:rPr>
              <w:t xml:space="preserve">      15 </w:t>
            </w:r>
            <w:r>
              <w:rPr>
                <w:rFonts w:hint="default" w:ascii="ＭＳ 明朝" w:hAnsi="ＭＳ 明朝"/>
                <w:color w:val="auto"/>
              </w:rPr>
              <w:t>頭</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⑨</w:t>
            </w:r>
            <w:r>
              <w:rPr>
                <w:rFonts w:hint="default" w:ascii="ＭＳ 明朝" w:hAnsi="ＭＳ 明朝"/>
                <w:color w:val="auto"/>
              </w:rPr>
              <w:t>採卵鶏飼養羽数</w:t>
            </w:r>
            <w:r>
              <w:rPr>
                <w:rFonts w:hint="eastAsia"/>
                <w:color w:val="auto"/>
              </w:rPr>
              <w:t>　　　　</w:t>
            </w:r>
            <w:r>
              <w:rPr>
                <w:rFonts w:hint="eastAsia"/>
                <w:color w:val="auto"/>
              </w:rPr>
              <w:t xml:space="preserve"> </w:t>
            </w:r>
            <w:r>
              <w:rPr>
                <w:rFonts w:hint="default"/>
                <w:color w:val="auto"/>
              </w:rPr>
              <w:t xml:space="preserve">     150 </w:t>
            </w:r>
            <w:r>
              <w:rPr>
                <w:rFonts w:hint="default" w:ascii="ＭＳ 明朝" w:hAnsi="ＭＳ 明朝"/>
                <w:color w:val="auto"/>
              </w:rPr>
              <w:t>羽</w:t>
            </w:r>
          </w:p>
          <w:p>
            <w:pPr>
              <w:pStyle w:val="0"/>
              <w:tabs>
                <w:tab w:val="left" w:leader="none" w:pos="4396"/>
              </w:tabs>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⑩</w:t>
            </w:r>
            <w:r>
              <w:rPr>
                <w:rFonts w:hint="default" w:ascii="ＭＳ 明朝" w:hAnsi="ＭＳ 明朝"/>
                <w:color w:val="auto"/>
              </w:rPr>
              <w:t>ブロイラー年間出荷羽数</w:t>
            </w:r>
            <w:r>
              <w:rPr>
                <w:rFonts w:hint="eastAsia"/>
                <w:color w:val="auto"/>
              </w:rPr>
              <w:t xml:space="preserve"> </w:t>
            </w:r>
            <w:r>
              <w:rPr>
                <w:rFonts w:hint="default"/>
                <w:color w:val="auto"/>
              </w:rPr>
              <w:t xml:space="preserve">   1,000 </w:t>
            </w:r>
            <w:r>
              <w:rPr>
                <w:rFonts w:hint="default" w:ascii="ＭＳ 明朝" w:hAnsi="ＭＳ 明朝"/>
                <w:color w:val="auto"/>
              </w:rPr>
              <w:t>羽</w:t>
            </w:r>
          </w:p>
          <w:p>
            <w:pPr>
              <w:pStyle w:val="0"/>
              <w:suppressAutoHyphens w:val="1"/>
              <w:autoSpaceDE w:val="0"/>
              <w:autoSpaceDN w:val="0"/>
              <w:spacing w:line="342" w:lineRule="atLeast"/>
              <w:ind w:left="1980" w:leftChars="299" w:hanging="1322" w:hangingChars="601"/>
              <w:rPr>
                <w:rFonts w:hint="default"/>
                <w:color w:val="auto"/>
              </w:rPr>
            </w:pPr>
            <w:r>
              <w:rPr>
                <w:rFonts w:hint="default" w:ascii="ＭＳ 明朝" w:hAnsi="ＭＳ 明朝"/>
                <w:color w:val="auto"/>
              </w:rPr>
              <w:t>⑪</w:t>
            </w:r>
            <w:r>
              <w:rPr>
                <w:rFonts w:hint="default" w:ascii="ＭＳ 明朝" w:hAnsi="ＭＳ 明朝"/>
                <w:color w:val="auto"/>
              </w:rPr>
              <w:t>その他</w:t>
            </w:r>
            <w:r>
              <w:rPr>
                <w:rFonts w:hint="default"/>
                <w:color w:val="auto"/>
              </w:rPr>
              <w:tab/>
            </w:r>
            <w:r>
              <w:rPr>
                <w:rFonts w:hint="default" w:ascii="ＭＳ 明朝" w:hAnsi="ＭＳ 明朝"/>
                <w:color w:val="auto"/>
              </w:rPr>
              <w:t>調査期日前１年間における農業生産物</w:t>
            </w:r>
            <w:r>
              <w:rPr>
                <w:rFonts w:hint="eastAsia"/>
                <w:color w:val="auto"/>
              </w:rPr>
              <w:t>の</w:t>
            </w:r>
            <w:r>
              <w:rPr>
                <w:rFonts w:hint="default" w:ascii="ＭＳ 明朝" w:hAnsi="ＭＳ 明朝"/>
                <w:color w:val="auto"/>
              </w:rPr>
              <w:t>総販売額</w:t>
            </w:r>
            <w:r>
              <w:rPr>
                <w:rFonts w:hint="default"/>
                <w:color w:val="auto"/>
              </w:rPr>
              <w:t>50</w:t>
            </w:r>
            <w:r>
              <w:rPr>
                <w:rFonts w:hint="default" w:ascii="ＭＳ 明朝" w:hAnsi="ＭＳ 明朝"/>
                <w:color w:val="auto"/>
              </w:rPr>
              <w:t>万円に相当する事業の規模</w:t>
            </w:r>
          </w:p>
          <w:p>
            <w:pPr>
              <w:pStyle w:val="0"/>
              <w:suppressAutoHyphens w:val="1"/>
              <w:autoSpaceDE w:val="0"/>
              <w:autoSpaceDN w:val="0"/>
              <w:spacing w:line="342" w:lineRule="atLeast"/>
              <w:ind w:left="550" w:leftChars="100" w:hanging="330" w:hangingChars="150"/>
              <w:rPr>
                <w:rFonts w:hint="default"/>
                <w:color w:val="auto"/>
              </w:rPr>
            </w:pPr>
            <w:r>
              <w:rPr>
                <w:rFonts w:hint="default"/>
                <w:color w:val="auto"/>
              </w:rPr>
              <w:t>(3)</w:t>
            </w:r>
            <w:r>
              <w:rPr>
                <w:rFonts w:hint="default" w:ascii="ＭＳ 明朝" w:hAnsi="ＭＳ 明朝"/>
                <w:color w:val="auto"/>
              </w:rPr>
              <w:t>　権原に基づいて育林</w:t>
            </w:r>
            <w:r>
              <w:rPr>
                <w:rFonts w:hint="eastAsia"/>
                <w:color w:val="auto"/>
              </w:rPr>
              <w:t>又</w:t>
            </w:r>
            <w:r>
              <w:rPr>
                <w:rFonts w:hint="default" w:ascii="ＭＳ 明朝" w:hAnsi="ＭＳ 明朝"/>
                <w:color w:val="auto"/>
              </w:rPr>
              <w:t>は伐採（立木竹のみを譲り受けてする伐採を除く。）を行うことができる山林（以下「保有山林」という。）の面積が３</w:t>
            </w:r>
            <w:r>
              <w:rPr>
                <w:rFonts w:hint="default"/>
                <w:color w:val="auto"/>
              </w:rPr>
              <w:t>ha</w:t>
            </w:r>
            <w:r>
              <w:rPr>
                <w:rFonts w:hint="default" w:ascii="ＭＳ 明朝" w:hAnsi="ＭＳ 明朝"/>
                <w:color w:val="auto"/>
              </w:rPr>
              <w:t>以上の規模の林業（調査実施年を計画期間に含む「森林経営計画」を策定している者</w:t>
            </w:r>
            <w:r>
              <w:rPr>
                <w:rFonts w:hint="eastAsia"/>
                <w:color w:val="auto"/>
              </w:rPr>
              <w:t>又</w:t>
            </w:r>
            <w:r>
              <w:rPr>
                <w:rFonts w:hint="default" w:ascii="ＭＳ 明朝" w:hAnsi="ＭＳ 明朝"/>
                <w:color w:val="auto"/>
              </w:rPr>
              <w:t>は調査期日前５年間に継続して林業を行い、育林若しくは伐採を実施した者に限る。）</w:t>
            </w:r>
          </w:p>
          <w:p>
            <w:pPr>
              <w:pStyle w:val="0"/>
              <w:suppressAutoHyphens w:val="1"/>
              <w:autoSpaceDE w:val="0"/>
              <w:autoSpaceDN w:val="0"/>
              <w:spacing w:line="342" w:lineRule="atLeast"/>
              <w:ind w:firstLine="220" w:firstLineChars="100"/>
              <w:rPr>
                <w:rFonts w:hint="default"/>
                <w:color w:val="auto"/>
              </w:rPr>
            </w:pPr>
            <w:r>
              <w:rPr>
                <w:rFonts w:hint="default"/>
                <w:color w:val="auto"/>
              </w:rPr>
              <w:t>(4)</w:t>
            </w:r>
            <w:r>
              <w:rPr>
                <w:rFonts w:hint="default" w:ascii="ＭＳ 明朝" w:hAnsi="ＭＳ 明朝"/>
                <w:color w:val="auto"/>
              </w:rPr>
              <w:t>　農作業の受託の事業</w:t>
            </w:r>
          </w:p>
          <w:p>
            <w:pPr>
              <w:pStyle w:val="0"/>
              <w:suppressAutoHyphens w:val="1"/>
              <w:autoSpaceDE w:val="0"/>
              <w:autoSpaceDN w:val="0"/>
              <w:spacing w:line="342" w:lineRule="atLeast"/>
              <w:ind w:left="550" w:leftChars="100" w:hanging="330" w:hangingChars="150"/>
              <w:rPr>
                <w:rFonts w:hint="default"/>
                <w:color w:val="auto"/>
              </w:rPr>
            </w:pPr>
            <w:r>
              <w:rPr>
                <w:rFonts w:hint="default"/>
                <w:color w:val="auto"/>
              </w:rPr>
              <w:t>(5)</w:t>
            </w:r>
            <w:r>
              <w:rPr>
                <w:rFonts w:hint="default" w:ascii="ＭＳ 明朝" w:hAnsi="ＭＳ 明朝"/>
                <w:color w:val="auto"/>
              </w:rPr>
              <w:t>　委託を受けて行う育林若しくは素材生産</w:t>
            </w:r>
            <w:r>
              <w:rPr>
                <w:rFonts w:hint="eastAsia"/>
                <w:color w:val="auto"/>
              </w:rPr>
              <w:t>又</w:t>
            </w:r>
            <w:r>
              <w:rPr>
                <w:rFonts w:hint="default" w:ascii="ＭＳ 明朝" w:hAnsi="ＭＳ 明朝"/>
                <w:color w:val="auto"/>
              </w:rPr>
              <w:t>は立木を購入して行う素材生産の事業（ただし、素材生産については、調査期日前１年間に</w:t>
            </w:r>
            <w:r>
              <w:rPr>
                <w:rFonts w:hint="default"/>
                <w:color w:val="auto"/>
              </w:rPr>
              <w:t>200</w:t>
            </w:r>
            <w:r>
              <w:rPr>
                <w:rFonts w:hint="eastAsia"/>
                <w:color w:val="auto"/>
              </w:rPr>
              <w:t>㎥以上の素材を生産した者に限る。）</w:t>
            </w:r>
          </w:p>
        </w:tc>
      </w:tr>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rPr>
            </w:pPr>
            <w:r>
              <w:rPr>
                <w:rFonts w:hint="eastAsia"/>
              </w:rPr>
              <w:t>農業経営体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農林業経営体のうち、</w:t>
            </w:r>
            <w:r>
              <w:rPr>
                <w:rFonts w:hint="default"/>
                <w:color w:val="auto"/>
              </w:rPr>
              <w:t>(1)</w:t>
            </w:r>
            <w:r>
              <w:rPr>
                <w:rFonts w:hint="default" w:ascii="ＭＳ 明朝" w:hAnsi="ＭＳ 明朝"/>
                <w:color w:val="auto"/>
              </w:rPr>
              <w:t>、</w:t>
            </w:r>
            <w:r>
              <w:rPr>
                <w:rFonts w:hint="default"/>
                <w:color w:val="auto"/>
              </w:rPr>
              <w:t>(2)</w:t>
            </w:r>
            <w:r>
              <w:rPr>
                <w:rFonts w:hint="eastAsia"/>
                <w:color w:val="auto"/>
              </w:rPr>
              <w:t>又</w:t>
            </w:r>
            <w:r>
              <w:rPr>
                <w:rFonts w:hint="default" w:ascii="ＭＳ 明朝" w:hAnsi="ＭＳ 明朝"/>
                <w:color w:val="auto"/>
              </w:rPr>
              <w:t>は</w:t>
            </w:r>
            <w:r>
              <w:rPr>
                <w:rFonts w:hint="default"/>
                <w:color w:val="auto"/>
              </w:rPr>
              <w:t>(4)</w:t>
            </w:r>
            <w:r>
              <w:rPr>
                <w:rFonts w:hint="default" w:ascii="ＭＳ 明朝" w:hAnsi="ＭＳ 明朝"/>
                <w:color w:val="auto"/>
              </w:rPr>
              <w:t>のいずれかに該当する事業を行う者をいう。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林業経営体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農林業経営体のうち、</w:t>
            </w:r>
            <w:r>
              <w:rPr>
                <w:rFonts w:hint="default"/>
                <w:color w:val="auto"/>
              </w:rPr>
              <w:t>(3)</w:t>
            </w:r>
            <w:r>
              <w:rPr>
                <w:rFonts w:hint="eastAsia"/>
                <w:color w:val="auto"/>
              </w:rPr>
              <w:t>又</w:t>
            </w:r>
            <w:r>
              <w:rPr>
                <w:rFonts w:hint="default" w:ascii="ＭＳ 明朝" w:hAnsi="ＭＳ 明朝"/>
                <w:color w:val="auto"/>
              </w:rPr>
              <w:t>は</w:t>
            </w:r>
            <w:r>
              <w:rPr>
                <w:rFonts w:hint="default"/>
                <w:color w:val="auto"/>
              </w:rPr>
              <w:t>(5)</w:t>
            </w:r>
            <w:r>
              <w:rPr>
                <w:rFonts w:hint="default" w:ascii="ＭＳ 明朝" w:hAnsi="ＭＳ 明朝"/>
                <w:color w:val="auto"/>
              </w:rPr>
              <w:t>のいずれかに該当する事業を行う</w:t>
            </w:r>
            <w:r>
              <w:rPr>
                <w:rFonts w:hint="eastAsia"/>
                <w:color w:val="auto"/>
              </w:rPr>
              <w:t>者</w:t>
            </w:r>
            <w:r>
              <w:rPr>
                <w:rFonts w:hint="default" w:ascii="ＭＳ 明朝" w:hAnsi="ＭＳ 明朝"/>
                <w:color w:val="auto"/>
              </w:rPr>
              <w:t>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個人経営体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個人（世帯）で事業を行う経営体をいう。なお、法人化して事業を行う経営体は含まない。</w:t>
            </w:r>
          </w:p>
        </w:tc>
      </w:tr>
      <w:tr>
        <w:trPr>
          <w:trHeight w:val="416"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団体経営体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個人経営体以外の経営体をいう。</w:t>
            </w:r>
          </w:p>
        </w:tc>
      </w:tr>
    </w:tbl>
    <w:p>
      <w:pPr>
        <w:pStyle w:val="0"/>
        <w:rPr>
          <w:rFonts w:hint="default"/>
          <w:color w:val="auto"/>
        </w:rPr>
      </w:pPr>
    </w:p>
    <w:p>
      <w:pPr>
        <w:pStyle w:val="0"/>
        <w:rPr>
          <w:rFonts w:hint="default"/>
          <w:color w:val="auto"/>
        </w:rPr>
      </w:pPr>
    </w:p>
    <w:p>
      <w:pPr>
        <w:pStyle w:val="3"/>
        <w:ind w:left="110"/>
        <w:rPr>
          <w:rFonts w:hint="default"/>
        </w:rPr>
      </w:pPr>
      <w:r>
        <w:rPr>
          <w:rFonts w:hint="eastAsia"/>
        </w:rPr>
        <w:t>(</w:t>
      </w:r>
      <w:r>
        <w:rPr>
          <w:rFonts w:hint="default"/>
        </w:rPr>
        <w:t>2)</w:t>
      </w:r>
      <w:r>
        <w:rPr>
          <w:rFonts w:hint="eastAsia"/>
        </w:rPr>
        <w:t>　組織形態別</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61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法人化している</w:t>
            </w:r>
          </w:p>
          <w:p>
            <w:pPr>
              <w:pStyle w:val="0"/>
              <w:suppressAutoHyphens w:val="1"/>
              <w:kinsoku w:val="0"/>
              <w:autoSpaceDE w:val="0"/>
              <w:autoSpaceDN w:val="0"/>
              <w:spacing w:line="342" w:lineRule="atLeast"/>
              <w:jc w:val="left"/>
              <w:rPr>
                <w:rFonts w:hint="default"/>
                <w:color w:val="auto"/>
              </w:rPr>
            </w:pPr>
            <w:r>
              <w:rPr>
                <w:rFonts w:hint="eastAsia"/>
                <w:color w:val="auto"/>
              </w:rPr>
              <w:t>（法人経営体）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農林業経営体のうち、法人化して事業を行う者をいう。</w:t>
            </w:r>
          </w:p>
        </w:tc>
      </w:tr>
      <w:tr>
        <w:trPr>
          <w:trHeight w:val="70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農事組合法人</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農業協同組合法（昭和</w:t>
            </w:r>
            <w:r>
              <w:rPr>
                <w:rFonts w:hint="default"/>
                <w:color w:val="auto"/>
              </w:rPr>
              <w:t>22</w:t>
            </w:r>
            <w:r>
              <w:rPr>
                <w:rFonts w:hint="default" w:ascii="ＭＳ 明朝" w:hAnsi="ＭＳ 明朝"/>
                <w:color w:val="auto"/>
              </w:rPr>
              <w:t>年法律第</w:t>
            </w:r>
            <w:r>
              <w:rPr>
                <w:rFonts w:hint="default"/>
                <w:color w:val="auto"/>
              </w:rPr>
              <w:t>132</w:t>
            </w:r>
            <w:r>
              <w:rPr>
                <w:rFonts w:hint="default" w:ascii="ＭＳ 明朝" w:hAnsi="ＭＳ 明朝"/>
                <w:color w:val="auto"/>
              </w:rPr>
              <w:t>号）に基づき</w:t>
            </w:r>
            <w:r>
              <w:rPr>
                <w:rFonts w:hint="eastAsia"/>
                <w:color w:val="auto"/>
              </w:rPr>
              <w:t>、「組合員の</w:t>
            </w:r>
            <w:r>
              <w:rPr>
                <w:rFonts w:hint="default" w:ascii="ＭＳ 明朝" w:hAnsi="ＭＳ 明朝"/>
                <w:color w:val="auto"/>
              </w:rPr>
              <w:t>農業生産について</w:t>
            </w:r>
            <w:r>
              <w:rPr>
                <w:rFonts w:hint="eastAsia"/>
                <w:color w:val="auto"/>
              </w:rPr>
              <w:t>の</w:t>
            </w:r>
            <w:r>
              <w:rPr>
                <w:rFonts w:hint="default" w:ascii="ＭＳ 明朝" w:hAnsi="ＭＳ 明朝"/>
                <w:color w:val="auto"/>
              </w:rPr>
              <w:t>協業を図ることにより</w:t>
            </w:r>
            <w:r>
              <w:rPr>
                <w:rFonts w:hint="eastAsia"/>
                <w:color w:val="auto"/>
              </w:rPr>
              <w:t>その</w:t>
            </w:r>
            <w:r>
              <w:rPr>
                <w:rFonts w:hint="default" w:ascii="ＭＳ 明朝" w:hAnsi="ＭＳ 明朝"/>
                <w:color w:val="auto"/>
              </w:rPr>
              <w:t>共同の利益を増進すること</w:t>
            </w:r>
            <w:r>
              <w:rPr>
                <w:rFonts w:hint="eastAsia"/>
                <w:color w:val="auto"/>
              </w:rPr>
              <w:t>」</w:t>
            </w:r>
            <w:r>
              <w:rPr>
                <w:rFonts w:hint="default" w:ascii="ＭＳ 明朝" w:hAnsi="ＭＳ 明朝"/>
                <w:color w:val="auto"/>
              </w:rPr>
              <w:t>を目的として設立された法人をいう</w:t>
            </w:r>
            <w:r>
              <w:rPr>
                <w:rFonts w:hint="eastAsia"/>
                <w:color w:val="auto"/>
              </w:rPr>
              <w:t>。</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次のいずれかに該当するものをいう。</w:t>
            </w:r>
          </w:p>
        </w:tc>
      </w:tr>
      <w:tr>
        <w:trPr>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株式会社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会社法（平成</w:t>
            </w:r>
            <w:r>
              <w:rPr>
                <w:rFonts w:hint="default"/>
                <w:color w:val="auto"/>
              </w:rPr>
              <w:t>17</w:t>
            </w:r>
            <w:r>
              <w:rPr>
                <w:rFonts w:hint="default" w:ascii="ＭＳ 明朝" w:hAnsi="ＭＳ 明朝"/>
                <w:color w:val="auto"/>
              </w:rPr>
              <w:t>年法律第</w:t>
            </w:r>
            <w:r>
              <w:rPr>
                <w:rFonts w:hint="default"/>
                <w:color w:val="auto"/>
              </w:rPr>
              <w:t>86</w:t>
            </w:r>
            <w:r>
              <w:rPr>
                <w:rFonts w:hint="default" w:ascii="ＭＳ 明朝" w:hAnsi="ＭＳ 明朝"/>
                <w:color w:val="auto"/>
              </w:rPr>
              <w:t>号）に基づき</w:t>
            </w:r>
            <w:r>
              <w:rPr>
                <w:rFonts w:hint="eastAsia"/>
                <w:color w:val="auto"/>
              </w:rPr>
              <w:t>、</w:t>
            </w:r>
            <w:r>
              <w:rPr>
                <w:rFonts w:hint="default" w:ascii="ＭＳ 明朝" w:hAnsi="ＭＳ 明朝"/>
                <w:color w:val="auto"/>
              </w:rPr>
              <w:t>株式会社の組織形態をとっているものをいう。なお、会社法の施行に伴う関係法律の整備等に関する法律（平成</w:t>
            </w:r>
            <w:r>
              <w:rPr>
                <w:rFonts w:hint="default"/>
                <w:color w:val="auto"/>
              </w:rPr>
              <w:t>17</w:t>
            </w:r>
            <w:r>
              <w:rPr>
                <w:rFonts w:hint="default" w:ascii="ＭＳ 明朝" w:hAnsi="ＭＳ 明朝"/>
                <w:color w:val="auto"/>
              </w:rPr>
              <w:t>年法律第</w:t>
            </w:r>
            <w:r>
              <w:rPr>
                <w:rFonts w:hint="default"/>
                <w:color w:val="auto"/>
              </w:rPr>
              <w:t>87</w:t>
            </w:r>
            <w:r>
              <w:rPr>
                <w:rFonts w:hint="default" w:ascii="ＭＳ 明朝" w:hAnsi="ＭＳ 明朝"/>
                <w:color w:val="auto"/>
              </w:rPr>
              <w:t>号）に定める特例有限会社の組織形態をとっているものを含む。</w:t>
            </w:r>
          </w:p>
        </w:tc>
      </w:tr>
      <w:tr>
        <w:trPr>
          <w:trHeight w:val="51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left="220" w:leftChars="100" w:firstLineChars="0"/>
              <w:jc w:val="left"/>
              <w:rPr>
                <w:rFonts w:hint="default"/>
                <w:color w:val="auto"/>
              </w:rPr>
            </w:pPr>
            <w:r>
              <w:rPr>
                <w:rFonts w:hint="eastAsia"/>
                <w:color w:val="auto"/>
              </w:rPr>
              <w:t>合名・合資会社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会社法に基づき、合名会社又は合資会社の組織形態をとっているものをいう。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合同会社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会社法に基づき、合同会社の組織形態をとっているものをいう。</w:t>
            </w:r>
          </w:p>
        </w:tc>
      </w:tr>
      <w:tr>
        <w:trPr>
          <w:trHeight w:val="73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相互会社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保険業法（平成７年法律第</w:t>
            </w:r>
            <w:r>
              <w:rPr>
                <w:rFonts w:hint="eastAsia"/>
                <w:color w:val="auto"/>
              </w:rPr>
              <w:t>105</w:t>
            </w:r>
            <w:r>
              <w:rPr>
                <w:rFonts w:hint="eastAsia"/>
                <w:color w:val="auto"/>
              </w:rPr>
              <w:t>号）に基づき、保険会社のみが認められている中間法人であり、加入者自身を構成員とすることから、お互いが構成員のために保険業務を行う団体をいう。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各種団体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次のいずれかに該当するものをいう。</w:t>
            </w:r>
          </w:p>
        </w:tc>
      </w:tr>
      <w:tr>
        <w:trPr>
          <w:trHeight w:val="51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農協</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農業協同組合法に基づき組織された組合で、農業協同組合、農業協同組合の連合組織（経済連等）が該当する。</w:t>
            </w:r>
          </w:p>
        </w:tc>
      </w:tr>
      <w:tr>
        <w:trPr>
          <w:trHeight w:val="47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森林組合</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森林組合法（昭和</w:t>
            </w:r>
            <w:r>
              <w:rPr>
                <w:rFonts w:hint="default"/>
                <w:color w:val="auto"/>
              </w:rPr>
              <w:t>53</w:t>
            </w:r>
            <w:r>
              <w:rPr>
                <w:rFonts w:hint="default" w:ascii="ＭＳ 明朝" w:hAnsi="ＭＳ 明朝"/>
                <w:color w:val="auto"/>
              </w:rPr>
              <w:t>年法律第</w:t>
            </w:r>
            <w:r>
              <w:rPr>
                <w:rFonts w:hint="default"/>
                <w:color w:val="auto"/>
              </w:rPr>
              <w:t>36</w:t>
            </w:r>
            <w:r>
              <w:rPr>
                <w:rFonts w:hint="default" w:ascii="ＭＳ 明朝" w:hAnsi="ＭＳ 明朝"/>
                <w:color w:val="auto"/>
              </w:rPr>
              <w:t>号）に基づき組織された組合で、森林組合、生産森林組合、森林組合連合会が該当する。</w:t>
            </w:r>
          </w:p>
        </w:tc>
      </w:tr>
      <w:tr>
        <w:trPr>
          <w:trHeight w:val="725"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left="167" w:leftChars="76" w:firstLine="1"/>
              <w:jc w:val="left"/>
              <w:rPr>
                <w:rFonts w:hint="default"/>
                <w:color w:val="auto"/>
              </w:rPr>
            </w:pPr>
            <w:r>
              <w:rPr>
                <w:rFonts w:hint="eastAsia"/>
                <w:color w:val="auto"/>
              </w:rPr>
              <w:t>その他の各種団体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農業保険法（昭和</w:t>
            </w:r>
            <w:r>
              <w:rPr>
                <w:rFonts w:hint="default"/>
                <w:color w:val="auto"/>
              </w:rPr>
              <w:t>22</w:t>
            </w:r>
            <w:r>
              <w:rPr>
                <w:rFonts w:hint="default" w:ascii="ＭＳ 明朝" w:hAnsi="ＭＳ 明朝"/>
                <w:color w:val="auto"/>
              </w:rPr>
              <w:t>年法律第</w:t>
            </w:r>
            <w:r>
              <w:rPr>
                <w:rFonts w:hint="default"/>
                <w:color w:val="auto"/>
              </w:rPr>
              <w:t>185</w:t>
            </w:r>
            <w:r>
              <w:rPr>
                <w:rFonts w:hint="default" w:ascii="ＭＳ 明朝" w:hAnsi="ＭＳ 明朝"/>
                <w:color w:val="auto"/>
              </w:rPr>
              <w:t>号）に基づき組織された農業共済組合や農業関係団体、</w:t>
            </w:r>
            <w:r>
              <w:rPr>
                <w:rFonts w:hint="eastAsia"/>
                <w:color w:val="auto"/>
              </w:rPr>
              <w:t>又</w:t>
            </w:r>
            <w:r>
              <w:rPr>
                <w:rFonts w:hint="default" w:ascii="ＭＳ 明朝" w:hAnsi="ＭＳ 明朝"/>
                <w:color w:val="auto"/>
              </w:rPr>
              <w:t>は森林組合以外の組合等の団体が該当する。林業公社（第</w:t>
            </w:r>
            <w:r>
              <w:rPr>
                <w:rFonts w:hint="eastAsia" w:ascii="ＭＳ 明朝" w:hAnsi="ＭＳ 明朝"/>
                <w:color w:val="auto"/>
              </w:rPr>
              <w:t>三</w:t>
            </w:r>
            <w:r>
              <w:rPr>
                <w:rFonts w:hint="default" w:ascii="ＭＳ 明朝" w:hAnsi="ＭＳ 明朝"/>
                <w:color w:val="auto"/>
              </w:rPr>
              <w:t>セクター）もここに含める。</w:t>
            </w:r>
          </w:p>
        </w:tc>
      </w:tr>
      <w:tr>
        <w:trPr>
          <w:trHeight w:val="47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その他の法人</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農事組合法人、会社及び各種団体以外の法人で、公益法人、宗教法人、医療法人、ＮＰＯ法人などが該当する。</w:t>
            </w:r>
          </w:p>
        </w:tc>
      </w:tr>
      <w:tr>
        <w:trPr>
          <w:trHeight w:val="142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地方公共団体・財産区</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地方公共団体とは、都道府県及び市区町村をいう。</w:t>
            </w:r>
          </w:p>
          <w:p>
            <w:pPr>
              <w:pStyle w:val="0"/>
              <w:suppressAutoHyphens w:val="1"/>
              <w:autoSpaceDE w:val="0"/>
              <w:autoSpaceDN w:val="0"/>
              <w:spacing w:line="342" w:lineRule="atLeast"/>
              <w:ind w:firstLine="206"/>
              <w:jc w:val="left"/>
              <w:rPr>
                <w:rFonts w:hint="default"/>
                <w:color w:val="auto"/>
              </w:rPr>
            </w:pPr>
            <w:r>
              <w:rPr>
                <w:rFonts w:hint="eastAsia"/>
                <w:color w:val="auto"/>
              </w:rPr>
              <w:t>財産区とは、地方自治法（昭和</w:t>
            </w:r>
            <w:r>
              <w:rPr>
                <w:rFonts w:hint="default"/>
                <w:color w:val="auto"/>
              </w:rPr>
              <w:t>22</w:t>
            </w:r>
            <w:r>
              <w:rPr>
                <w:rFonts w:hint="default" w:ascii="ＭＳ 明朝" w:hAnsi="ＭＳ 明朝"/>
                <w:color w:val="auto"/>
              </w:rPr>
              <w:t>年法律第</w:t>
            </w:r>
            <w:r>
              <w:rPr>
                <w:rFonts w:hint="default"/>
                <w:color w:val="auto"/>
              </w:rPr>
              <w:t>67</w:t>
            </w:r>
            <w:r>
              <w:rPr>
                <w:rFonts w:hint="default" w:ascii="ＭＳ 明朝" w:hAnsi="ＭＳ 明朝"/>
                <w:color w:val="auto"/>
              </w:rPr>
              <w:t>号）に基づき、市区町村の一部</w:t>
            </w:r>
            <w:r>
              <w:rPr>
                <w:rFonts w:hint="eastAsia"/>
                <w:color w:val="auto"/>
              </w:rPr>
              <w:t>で</w:t>
            </w:r>
            <w:r>
              <w:rPr>
                <w:rFonts w:hint="default" w:ascii="ＭＳ 明朝" w:hAnsi="ＭＳ 明朝"/>
                <w:color w:val="auto"/>
              </w:rPr>
              <w:t>財産</w:t>
            </w:r>
            <w:r>
              <w:rPr>
                <w:rFonts w:hint="eastAsia"/>
                <w:color w:val="auto"/>
              </w:rPr>
              <w:t>を有し、又は公の施設を設け、当該財産等の管理・処分・廃止に関する機能を有する特別地方公共団体</w:t>
            </w:r>
            <w:r>
              <w:rPr>
                <w:rFonts w:hint="default" w:ascii="ＭＳ 明朝" w:hAnsi="ＭＳ 明朝"/>
                <w:color w:val="auto"/>
              </w:rPr>
              <w:t>をいう。</w:t>
            </w:r>
          </w:p>
        </w:tc>
      </w:tr>
    </w:tbl>
    <w:p>
      <w:pPr>
        <w:pStyle w:val="0"/>
        <w:spacing w:line="360" w:lineRule="auto"/>
        <w:rPr>
          <w:rFonts w:hint="default"/>
          <w:color w:val="auto"/>
        </w:rPr>
      </w:pPr>
    </w:p>
    <w:p>
      <w:pPr>
        <w:pStyle w:val="0"/>
        <w:spacing w:line="360" w:lineRule="auto"/>
        <w:rPr>
          <w:rFonts w:hint="default"/>
          <w:color w:val="auto"/>
        </w:rPr>
      </w:pPr>
    </w:p>
    <w:p>
      <w:pPr>
        <w:pStyle w:val="0"/>
        <w:spacing w:line="360" w:lineRule="auto"/>
        <w:rPr>
          <w:rFonts w:hint="default"/>
          <w:color w:val="auto"/>
        </w:rPr>
      </w:pPr>
    </w:p>
    <w:p>
      <w:pPr>
        <w:pStyle w:val="3"/>
        <w:ind w:left="110"/>
        <w:rPr>
          <w:rFonts w:hint="default"/>
        </w:rPr>
      </w:pPr>
      <w:r>
        <w:rPr>
          <w:rFonts w:hint="eastAsia"/>
        </w:rPr>
        <w:t xml:space="preserve">(3) </w:t>
      </w:r>
      <w:r>
        <w:rPr>
          <w:rFonts w:hint="eastAsia"/>
        </w:rPr>
        <w:t>労働力等</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1038"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経営主</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農業（林業）経営の管理運営の中心となっている者をいい、生産品目や規模、請け負う農作業</w:t>
            </w:r>
            <w:r>
              <w:rPr>
                <w:rFonts w:hint="eastAsia"/>
                <w:color w:val="auto"/>
              </w:rPr>
              <w:t>(</w:t>
            </w:r>
            <w:r>
              <w:rPr>
                <w:rFonts w:hint="eastAsia"/>
                <w:color w:val="auto"/>
              </w:rPr>
              <w:t>林業作業</w:t>
            </w:r>
            <w:r>
              <w:rPr>
                <w:rFonts w:hint="eastAsia"/>
                <w:color w:val="auto"/>
              </w:rPr>
              <w:t>)</w:t>
            </w:r>
            <w:r>
              <w:rPr>
                <w:rFonts w:hint="eastAsia"/>
                <w:color w:val="auto"/>
              </w:rPr>
              <w:t>の決定、具体的な作業時期や作業体制、労働や資本の投入、資金調達といった経営全般を主宰する者をいう。</w:t>
            </w:r>
          </w:p>
        </w:tc>
      </w:tr>
      <w:tr>
        <w:trPr>
          <w:trHeight w:val="1384"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世帯員</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原則として住居と生計を共にしている者をいう。調査日現在出稼ぎ等に出ていてその家にいなくても生計を共にしている者は含むが、通学や就職のため他出して生活している子弟は除く。</w:t>
            </w:r>
          </w:p>
          <w:p>
            <w:pPr>
              <w:pStyle w:val="0"/>
              <w:suppressAutoHyphens w:val="1"/>
              <w:autoSpaceDE w:val="0"/>
              <w:autoSpaceDN w:val="0"/>
              <w:spacing w:line="342" w:lineRule="atLeast"/>
              <w:ind w:firstLine="206"/>
              <w:jc w:val="left"/>
              <w:rPr>
                <w:rFonts w:hint="default"/>
                <w:color w:val="auto"/>
              </w:rPr>
            </w:pPr>
            <w:r>
              <w:rPr>
                <w:rFonts w:hint="eastAsia"/>
                <w:color w:val="auto"/>
              </w:rPr>
              <w:t>また、住み込みの雇人も除く。</w:t>
            </w:r>
          </w:p>
        </w:tc>
      </w:tr>
      <w:tr>
        <w:trPr>
          <w:trHeight w:val="1038"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役員・構成員</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役員とは、会社等の組織経営における役員をいう。</w:t>
            </w:r>
            <w:r>
              <w:rPr>
                <w:rFonts w:hint="eastAsia"/>
                <w:color w:val="auto"/>
              </w:rPr>
              <w:t xml:space="preserve"> </w:t>
            </w:r>
          </w:p>
          <w:p>
            <w:pPr>
              <w:pStyle w:val="0"/>
              <w:suppressAutoHyphens w:val="1"/>
              <w:autoSpaceDE w:val="0"/>
              <w:autoSpaceDN w:val="0"/>
              <w:spacing w:line="342" w:lineRule="atLeast"/>
              <w:ind w:firstLine="206"/>
              <w:jc w:val="left"/>
              <w:rPr>
                <w:rFonts w:hint="default"/>
                <w:color w:val="auto"/>
              </w:rPr>
            </w:pPr>
            <w:r>
              <w:rPr>
                <w:rFonts w:hint="eastAsia"/>
                <w:color w:val="auto"/>
              </w:rPr>
              <w:t>構成員とは、集落営農組織や協業経営体における構成員をいう。</w:t>
            </w:r>
            <w:r>
              <w:rPr>
                <w:rFonts w:hint="eastAsia"/>
                <w:color w:val="auto"/>
              </w:rPr>
              <w:t xml:space="preserve"> </w:t>
            </w:r>
          </w:p>
          <w:p>
            <w:pPr>
              <w:pStyle w:val="0"/>
              <w:suppressAutoHyphens w:val="1"/>
              <w:autoSpaceDE w:val="0"/>
              <w:autoSpaceDN w:val="0"/>
              <w:spacing w:line="342" w:lineRule="atLeast"/>
              <w:ind w:firstLine="206"/>
              <w:jc w:val="left"/>
              <w:rPr>
                <w:rFonts w:hint="default"/>
                <w:color w:val="auto"/>
              </w:rPr>
            </w:pPr>
            <w:r>
              <w:rPr>
                <w:rFonts w:hint="eastAsia"/>
                <w:color w:val="auto"/>
              </w:rPr>
              <w:t>なお、役員会に出席するだけの者は含まない。</w:t>
            </w:r>
            <w:r>
              <w:rPr>
                <w:rFonts w:hint="eastAsia"/>
                <w:color w:val="auto"/>
              </w:rPr>
              <w:t xml:space="preserve"> </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後継者</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５年以内に農業（林業）経営を引き継ぐ後継者（予定者を含む。）をいう。</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親族</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経営主の３親等内（１親等：父、母、子</w:t>
            </w:r>
            <w:r>
              <w:rPr>
                <w:rFonts w:hint="eastAsia"/>
                <w:color w:val="auto"/>
              </w:rPr>
              <w:t xml:space="preserve"> </w:t>
            </w:r>
            <w:r>
              <w:rPr>
                <w:rFonts w:hint="eastAsia"/>
                <w:color w:val="auto"/>
              </w:rPr>
              <w:t>２親等：祖父母、孫、兄弟姉妹</w:t>
            </w:r>
            <w:r>
              <w:rPr>
                <w:rFonts w:hint="eastAsia"/>
                <w:color w:val="auto"/>
              </w:rPr>
              <w:t xml:space="preserve"> </w:t>
            </w:r>
            <w:r>
              <w:rPr>
                <w:rFonts w:hint="eastAsia"/>
                <w:color w:val="auto"/>
              </w:rPr>
              <w:t>３親等：曾祖父母、曾孫、叔父、叔母、甥、姪）の親族をいう。</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90"/>
              <w:jc w:val="left"/>
              <w:rPr>
                <w:rFonts w:hint="default"/>
                <w:color w:val="auto"/>
              </w:rPr>
            </w:pPr>
            <w:r>
              <w:rPr>
                <w:rFonts w:hint="eastAsia"/>
                <w:color w:val="auto"/>
              </w:rPr>
              <w:t>親族以外の経営内部の人材</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農業（林業）経営における親族以外の役員又は雇用している者をいう。</w:t>
            </w:r>
          </w:p>
        </w:tc>
      </w:tr>
      <w:tr>
        <w:trPr>
          <w:trHeight w:val="510"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経営外部の人材</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上記以外の者をいう。</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５年以内に農業を引き継がない</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農業経営を開始又は農業経営を引き継いだ直後であり、５年以内に農業経営を引き継がないことをいう。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雇用者</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農業（林業）経営のために雇った「常雇い」及び「臨時雇い」（手間替え・ゆい（労働交換）、手伝い（金品の授受を伴わない無償の受け入れ労働）を含む。）の合計をいう。</w:t>
            </w:r>
          </w:p>
          <w:p>
            <w:pPr>
              <w:pStyle w:val="0"/>
              <w:suppressAutoHyphens w:val="1"/>
              <w:autoSpaceDE w:val="0"/>
              <w:autoSpaceDN w:val="0"/>
              <w:spacing w:line="342" w:lineRule="atLeast"/>
              <w:ind w:firstLine="206"/>
              <w:jc w:val="left"/>
              <w:rPr>
                <w:rFonts w:hint="default"/>
                <w:color w:val="auto"/>
              </w:rPr>
            </w:pPr>
            <w:r>
              <w:rPr>
                <w:rFonts w:hint="eastAsia"/>
                <w:color w:val="auto"/>
              </w:rPr>
              <w:t>農業経営の場合は、農業又は農業生産関連事業のいずれか、又は両方のために雇った人をいう。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常雇い</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あらかじめ、年間７か月以上の契約（口頭の契約でもよい。）で主に農業（林業）経営のために雇った人（期間を定めずに雇った人を含む。）をいう。</w:t>
            </w:r>
          </w:p>
          <w:p>
            <w:pPr>
              <w:pStyle w:val="0"/>
              <w:suppressAutoHyphens w:val="1"/>
              <w:autoSpaceDE w:val="0"/>
              <w:autoSpaceDN w:val="0"/>
              <w:spacing w:line="342" w:lineRule="atLeast"/>
              <w:ind w:firstLine="206"/>
              <w:jc w:val="left"/>
              <w:rPr>
                <w:rFonts w:hint="default"/>
                <w:color w:val="auto"/>
              </w:rPr>
            </w:pPr>
            <w:r>
              <w:rPr>
                <w:rFonts w:hint="eastAsia"/>
                <w:color w:val="auto"/>
              </w:rPr>
              <w:t>年間７か月以上の契約で雇っている外国人技能実習生を含める。</w:t>
            </w:r>
          </w:p>
          <w:p>
            <w:pPr>
              <w:pStyle w:val="0"/>
              <w:suppressAutoHyphens w:val="1"/>
              <w:autoSpaceDE w:val="0"/>
              <w:autoSpaceDN w:val="0"/>
              <w:spacing w:line="342" w:lineRule="atLeast"/>
              <w:ind w:firstLine="206"/>
              <w:jc w:val="left"/>
              <w:rPr>
                <w:rFonts w:hint="default"/>
                <w:color w:val="auto"/>
              </w:rPr>
            </w:pPr>
            <w:r>
              <w:rPr>
                <w:rFonts w:hint="eastAsia"/>
                <w:color w:val="auto"/>
              </w:rPr>
              <w:t>農業経営の場合は、農業又は農業生産関連事業のいずれか、又は両方のために雇った人をいう。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臨時雇い</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「常雇い」に該当しない日雇い、季節雇いなど農業（林業）経営のために一時的に雇った人のことをいい、手間替え・ゆい（労働交換）、手伝い（金品の授受を伴わない無償の受け入れ労働）を含む。</w:t>
            </w:r>
          </w:p>
          <w:p>
            <w:pPr>
              <w:pStyle w:val="0"/>
              <w:suppressAutoHyphens w:val="1"/>
              <w:autoSpaceDE w:val="0"/>
              <w:autoSpaceDN w:val="0"/>
              <w:spacing w:line="342" w:lineRule="atLeast"/>
              <w:ind w:firstLine="206"/>
              <w:jc w:val="left"/>
              <w:rPr>
                <w:rFonts w:hint="default"/>
                <w:color w:val="auto"/>
              </w:rPr>
            </w:pPr>
            <w:r>
              <w:rPr>
                <w:rFonts w:hint="eastAsia"/>
                <w:color w:val="auto"/>
              </w:rPr>
              <w:t>なお、農作業（林業作業）を委託した場合の労働は含まない。</w:t>
            </w:r>
          </w:p>
          <w:p>
            <w:pPr>
              <w:pStyle w:val="0"/>
              <w:suppressAutoHyphens w:val="1"/>
              <w:autoSpaceDE w:val="0"/>
              <w:autoSpaceDN w:val="0"/>
              <w:spacing w:line="342" w:lineRule="atLeast"/>
              <w:ind w:firstLine="206"/>
              <w:jc w:val="left"/>
              <w:rPr>
                <w:rFonts w:hint="default"/>
                <w:color w:val="auto"/>
              </w:rPr>
            </w:pPr>
            <w:r>
              <w:rPr>
                <w:rFonts w:hint="eastAsia"/>
                <w:color w:val="auto"/>
              </w:rPr>
              <w:t>また、主に農業（林業）以外の事業のために雇った人が一時的に農業（林業）経営に従事した場合及び「常雇い」として７か月以上の契約で雇った人がそれ未満で辞めた場合を含む。</w:t>
            </w:r>
          </w:p>
          <w:p>
            <w:pPr>
              <w:pStyle w:val="0"/>
              <w:suppressAutoHyphens w:val="1"/>
              <w:autoSpaceDE w:val="0"/>
              <w:autoSpaceDN w:val="0"/>
              <w:spacing w:line="342" w:lineRule="atLeast"/>
              <w:ind w:firstLine="206"/>
              <w:jc w:val="left"/>
              <w:rPr>
                <w:rFonts w:hint="default"/>
                <w:color w:val="auto"/>
              </w:rPr>
            </w:pPr>
            <w:r>
              <w:rPr>
                <w:rFonts w:hint="eastAsia"/>
                <w:color w:val="auto"/>
              </w:rPr>
              <w:t>農業経営の場合は、農業又は農業生産関連事業のいずれか、又は両方のために雇った人をいう。</w:t>
            </w:r>
          </w:p>
        </w:tc>
      </w:tr>
    </w:tbl>
    <w:p>
      <w:pPr>
        <w:pStyle w:val="0"/>
        <w:spacing w:line="360" w:lineRule="auto"/>
        <w:rPr>
          <w:rFonts w:hint="default"/>
          <w:color w:val="auto"/>
        </w:rPr>
      </w:pPr>
    </w:p>
    <w:p>
      <w:pPr>
        <w:pStyle w:val="3"/>
        <w:ind w:left="110"/>
        <w:rPr>
          <w:rFonts w:hint="default"/>
        </w:rPr>
      </w:pPr>
      <w:r>
        <w:rPr>
          <w:rFonts w:hint="default"/>
        </w:rPr>
        <w:t>(</w:t>
      </w:r>
      <w:r>
        <w:rPr>
          <w:rFonts w:hint="eastAsia"/>
        </w:rPr>
        <w:t>4</w:t>
      </w:r>
      <w:r>
        <w:rPr>
          <w:rFonts w:hint="default"/>
        </w:rPr>
        <w:t>)</w:t>
      </w:r>
      <w:r>
        <w:rPr>
          <w:rFonts w:hint="eastAsia"/>
        </w:rPr>
        <w:t>　</w:t>
      </w:r>
      <w:r>
        <w:rPr>
          <w:rFonts w:hint="default"/>
        </w:rPr>
        <w:t>農業経営体</w:t>
      </w:r>
    </w:p>
    <w:p>
      <w:pPr>
        <w:pStyle w:val="4"/>
        <w:ind w:left="440"/>
        <w:rPr>
          <w:rFonts w:hint="default"/>
        </w:rPr>
      </w:pPr>
      <w:r>
        <w:rPr>
          <w:rFonts w:hint="eastAsia"/>
        </w:rPr>
        <w:t>ア　</w:t>
      </w:r>
      <w:r>
        <w:rPr>
          <w:rFonts w:hint="default"/>
        </w:rPr>
        <w:t>土地</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6860"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1"/>
              <w:rPr>
                <w:rFonts w:hint="default"/>
                <w:color w:val="auto"/>
              </w:rPr>
            </w:pPr>
            <w:r>
              <w:rPr>
                <w:rFonts w:hint="eastAsia"/>
                <w:color w:val="auto"/>
              </w:rPr>
              <w:t>経営耕地</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1"/>
              <w:ind w:firstLine="220" w:firstLineChars="100"/>
              <w:rPr>
                <w:rFonts w:hint="default"/>
                <w:color w:val="auto"/>
              </w:rPr>
            </w:pPr>
            <w:r>
              <w:rPr>
                <w:rFonts w:hint="default" w:ascii="ＭＳ 明朝" w:hAnsi="ＭＳ 明朝"/>
                <w:color w:val="auto"/>
              </w:rPr>
              <w:t>調査期日現在で農林業経営体が経営している耕地（けい畔を含む田、樹園地及び畑）をいい、自ら所有し耕作している耕地（自作地）と、他から借りて耕作している耕地（借入耕地）の合計である。土地台帳の地目や面積に関係なく、実際の地目別の面積とした。</w:t>
            </w:r>
          </w:p>
          <w:p>
            <w:pPr>
              <w:pStyle w:val="0"/>
              <w:autoSpaceDE w:val="0"/>
              <w:autoSpaceDN w:val="0"/>
              <w:adjustRightInd w:val="1"/>
              <w:ind w:firstLine="220" w:firstLineChars="100"/>
              <w:rPr>
                <w:rFonts w:hint="default"/>
                <w:color w:val="auto"/>
              </w:rPr>
            </w:pPr>
          </w:p>
          <w:p>
            <w:pPr>
              <w:pStyle w:val="0"/>
              <w:autoSpaceDE w:val="0"/>
              <w:autoSpaceDN w:val="0"/>
              <w:adjustRightInd w:val="1"/>
              <w:ind w:firstLine="221" w:firstLineChars="100"/>
              <w:rPr>
                <w:rFonts w:hint="default"/>
                <w:b w:val="1"/>
                <w:color w:val="auto"/>
              </w:rPr>
            </w:pPr>
            <w:r>
              <w:rPr>
                <w:rFonts w:hint="default"/>
                <w:b w:val="1"/>
                <w:color w:val="auto"/>
              </w:rPr>
              <w:t>経営耕地の取扱い方</w:t>
            </w:r>
          </w:p>
          <w:p>
            <w:pPr>
              <w:pStyle w:val="0"/>
              <w:autoSpaceDE w:val="0"/>
              <w:autoSpaceDN w:val="0"/>
              <w:adjustRightInd w:val="1"/>
              <w:ind w:left="550" w:leftChars="100" w:hanging="330" w:hangingChars="150"/>
              <w:rPr>
                <w:rFonts w:hint="default"/>
                <w:color w:val="auto"/>
              </w:rPr>
            </w:pPr>
            <w:r>
              <w:rPr>
                <w:rFonts w:hint="default"/>
                <w:color w:val="auto"/>
              </w:rPr>
              <w:t>(1)</w:t>
            </w:r>
            <w:r>
              <w:rPr>
                <w:rFonts w:hint="default" w:ascii="ＭＳ 明朝" w:hAnsi="ＭＳ 明朝"/>
                <w:color w:val="auto"/>
              </w:rPr>
              <w:t>　他から借りている耕地は、届出の有無に関係なく、また、口頭の賃借契約によるものも、全て借り受けている者の経営耕地（借入耕地）とした。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(2)</w:t>
            </w:r>
            <w:r>
              <w:rPr>
                <w:rFonts w:hint="default" w:ascii="ＭＳ 明朝" w:hAnsi="ＭＳ 明朝"/>
                <w:color w:val="auto"/>
              </w:rPr>
              <w:t>　請負耕作や委託耕作などと呼ばれ</w:t>
            </w:r>
            <w:r>
              <w:rPr>
                <w:rFonts w:hint="eastAsia"/>
                <w:color w:val="auto"/>
              </w:rPr>
              <w:t>るものであっても、実際は一般の借入れと同じと考えられる場合は、その耕作を借り受けて耕作している者の経営耕地（借入耕地）とした。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(3)</w:t>
            </w:r>
            <w:r>
              <w:rPr>
                <w:rFonts w:hint="default" w:ascii="ＭＳ 明朝" w:hAnsi="ＭＳ 明朝"/>
                <w:color w:val="auto"/>
              </w:rPr>
              <w:t>　耕起</w:t>
            </w:r>
            <w:r>
              <w:rPr>
                <w:rFonts w:hint="eastAsia"/>
                <w:color w:val="auto"/>
              </w:rPr>
              <w:t>又</w:t>
            </w:r>
            <w:r>
              <w:rPr>
                <w:rFonts w:hint="default" w:ascii="ＭＳ 明朝" w:hAnsi="ＭＳ 明朝"/>
                <w:color w:val="auto"/>
              </w:rPr>
              <w:t>は稲刈り等のそれぞれの作業を単位として、作業を請け負う者に委託している場合は、その耕地は委託者の経営耕地とした。</w:t>
            </w:r>
          </w:p>
          <w:p>
            <w:pPr>
              <w:pStyle w:val="0"/>
              <w:autoSpaceDE w:val="0"/>
              <w:autoSpaceDN w:val="0"/>
              <w:adjustRightInd w:val="1"/>
              <w:ind w:left="550" w:leftChars="100" w:hanging="330" w:hangingChars="150"/>
              <w:rPr>
                <w:rFonts w:hint="default"/>
                <w:color w:val="auto"/>
              </w:rPr>
            </w:pPr>
            <w:r>
              <w:rPr>
                <w:rFonts w:hint="default"/>
                <w:color w:val="auto"/>
              </w:rPr>
              <w:t>(4)</w:t>
            </w:r>
            <w:r>
              <w:rPr>
                <w:rFonts w:hint="default" w:ascii="ＭＳ 明朝" w:hAnsi="ＭＳ 明朝"/>
                <w:color w:val="auto"/>
              </w:rPr>
              <w:t>　委託者が、収穫物の全てをもらい受ける契約で、作物の栽培一切を人に任せ、その代わりあらかじめ決めてある一定の耕作料を相手に支払う場合は、その耕地は委託者の経営耕地とした。</w:t>
            </w:r>
          </w:p>
          <w:p>
            <w:pPr>
              <w:pStyle w:val="0"/>
              <w:autoSpaceDE w:val="0"/>
              <w:autoSpaceDN w:val="0"/>
              <w:adjustRightInd w:val="1"/>
              <w:ind w:left="550" w:leftChars="100" w:hanging="330" w:hangingChars="150"/>
              <w:rPr>
                <w:rFonts w:hint="default"/>
                <w:color w:val="auto"/>
              </w:rPr>
            </w:pPr>
            <w:r>
              <w:rPr>
                <w:rFonts w:hint="default"/>
                <w:color w:val="auto"/>
              </w:rPr>
              <w:t>(5)</w:t>
            </w:r>
            <w:r>
              <w:rPr>
                <w:rFonts w:hint="default" w:ascii="ＭＳ 明朝" w:hAnsi="ＭＳ 明朝"/>
                <w:color w:val="auto"/>
              </w:rPr>
              <w:t>　調査期日前１年間に１作しか行われなかった耕地で、その１作の期間を人に貸</w:t>
            </w:r>
            <w:r>
              <w:rPr>
                <w:rFonts w:hint="eastAsia"/>
                <w:color w:val="auto"/>
              </w:rPr>
              <w:t>し付けていた場合は、貸し付けた者の経営耕地とはせず、貸付耕地（借り受けた側の経営耕地）とした。なお、「また小作」している耕地も、「また小作している農家」の経営耕地（借入耕地）とした。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(6)</w:t>
            </w:r>
            <w:r>
              <w:rPr>
                <w:rFonts w:hint="default" w:ascii="ＭＳ 明朝" w:hAnsi="ＭＳ 明朝"/>
                <w:color w:val="auto"/>
              </w:rPr>
              <w:t>　共有の耕地を割地として各戸で耕作している場合や、河川敷、官公有地内で耕作している場合も経営耕地（借入耕地）とした。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(7)</w:t>
            </w:r>
            <w:r>
              <w:rPr>
                <w:rFonts w:hint="default" w:ascii="ＭＳ 明朝" w:hAnsi="ＭＳ 明朝"/>
                <w:color w:val="auto"/>
              </w:rPr>
              <w:t>　協業で経営している耕地は、自分の土地であっても、自らの経営耕地とはせず、協業経営体の経営耕地とした。</w:t>
            </w:r>
          </w:p>
          <w:p>
            <w:pPr>
              <w:pStyle w:val="0"/>
              <w:autoSpaceDE w:val="0"/>
              <w:autoSpaceDN w:val="0"/>
              <w:adjustRightInd w:val="1"/>
              <w:ind w:left="550" w:leftChars="100" w:hanging="330" w:hangingChars="150"/>
              <w:rPr>
                <w:rFonts w:hint="default"/>
                <w:color w:val="auto"/>
              </w:rPr>
            </w:pPr>
            <w:r>
              <w:rPr>
                <w:rFonts w:hint="default"/>
                <w:color w:val="auto"/>
              </w:rPr>
              <w:t>(8)</w:t>
            </w:r>
            <w:r>
              <w:rPr>
                <w:rFonts w:hint="default" w:ascii="ＭＳ 明朝" w:hAnsi="ＭＳ 明朝"/>
                <w:color w:val="auto"/>
              </w:rPr>
              <w:t>　他の市区町村や他の都道府県に通って耕作（出作）している耕地でも、全てその農林業経営体の</w:t>
            </w:r>
            <w:r>
              <w:rPr>
                <w:rFonts w:hint="eastAsia"/>
                <w:color w:val="auto"/>
              </w:rPr>
              <w:t>経営耕地とした。したがって、○○県や○○町の経営耕地面積として計上されているものは、その県や町に居住している農林業経営体が経営している経営耕地の面積であり、いわゆる属人統計であることに留意する必要がある。</w:t>
            </w:r>
          </w:p>
          <w:p>
            <w:pPr>
              <w:pStyle w:val="0"/>
              <w:autoSpaceDE w:val="0"/>
              <w:autoSpaceDN w:val="0"/>
              <w:adjustRightInd w:val="1"/>
              <w:ind w:left="550" w:leftChars="100" w:hanging="330" w:hangingChars="150"/>
              <w:rPr>
                <w:rFonts w:hint="default"/>
                <w:color w:val="auto"/>
              </w:rPr>
            </w:pPr>
          </w:p>
          <w:p>
            <w:pPr>
              <w:pStyle w:val="0"/>
              <w:autoSpaceDE w:val="0"/>
              <w:autoSpaceDN w:val="0"/>
              <w:adjustRightInd w:val="1"/>
              <w:ind w:firstLine="221" w:firstLineChars="100"/>
              <w:rPr>
                <w:rFonts w:hint="default"/>
                <w:b w:val="1"/>
                <w:color w:val="auto"/>
              </w:rPr>
            </w:pPr>
            <w:r>
              <w:rPr>
                <w:rFonts w:hint="eastAsia"/>
                <w:b w:val="1"/>
                <w:color w:val="auto"/>
              </w:rPr>
              <w:t>耕地の取扱い方</w:t>
            </w:r>
          </w:p>
          <w:p>
            <w:pPr>
              <w:pStyle w:val="0"/>
              <w:autoSpaceDE w:val="0"/>
              <w:autoSpaceDN w:val="0"/>
              <w:adjustRightInd w:val="1"/>
              <w:ind w:left="550" w:leftChars="100" w:hanging="330" w:hangingChars="150"/>
              <w:rPr>
                <w:rFonts w:hint="default"/>
                <w:color w:val="auto"/>
              </w:rPr>
            </w:pPr>
            <w:r>
              <w:rPr>
                <w:rFonts w:hint="default"/>
                <w:color w:val="auto"/>
              </w:rPr>
              <w:t>(1)</w:t>
            </w:r>
            <w:r>
              <w:rPr>
                <w:rFonts w:hint="default" w:ascii="ＭＳ 明朝" w:hAnsi="ＭＳ 明朝"/>
                <w:color w:val="auto"/>
              </w:rPr>
              <w:t>　耕地面積には、けい畔を含めた。棚田などでけい畔がかなり広い面積を占める場合には、本地面積の２割に当たる部分だけを田の面積に入れ（斜面の面積ではなく、水平面積を入れる。）、残りの部分については耕地以外の土地とした。</w:t>
            </w:r>
          </w:p>
          <w:p>
            <w:pPr>
              <w:pStyle w:val="0"/>
              <w:autoSpaceDE w:val="0"/>
              <w:autoSpaceDN w:val="0"/>
              <w:adjustRightInd w:val="1"/>
              <w:ind w:left="550" w:leftChars="100" w:hanging="330" w:hangingChars="150"/>
              <w:rPr>
                <w:rFonts w:hint="default"/>
                <w:color w:val="auto"/>
              </w:rPr>
            </w:pPr>
            <w:r>
              <w:rPr>
                <w:rFonts w:hint="default"/>
                <w:color w:val="auto"/>
              </w:rPr>
              <w:t>(2)</w:t>
            </w:r>
            <w:r>
              <w:rPr>
                <w:rFonts w:hint="default" w:ascii="ＭＳ 明朝" w:hAnsi="ＭＳ 明朝"/>
                <w:color w:val="auto"/>
              </w:rPr>
              <w:t>　災害や労力の都合などで調査期日前１年間作物を栽培していなく</w:t>
            </w:r>
            <w:r>
              <w:rPr>
                <w:rFonts w:hint="eastAsia"/>
                <w:color w:val="auto"/>
              </w:rPr>
              <w:t>ても、ここ数年の間に再び耕作する意思のある土地は耕地とした。</w:t>
            </w:r>
          </w:p>
          <w:p>
            <w:pPr>
              <w:pStyle w:val="0"/>
              <w:autoSpaceDE w:val="0"/>
              <w:autoSpaceDN w:val="0"/>
              <w:adjustRightInd w:val="1"/>
              <w:ind w:left="550" w:leftChars="250" w:firstLine="220" w:firstLineChars="100"/>
              <w:rPr>
                <w:rFonts w:hint="default"/>
                <w:color w:val="auto"/>
              </w:rPr>
            </w:pPr>
            <w:r>
              <w:rPr>
                <w:rFonts w:hint="eastAsia"/>
                <w:color w:val="auto"/>
              </w:rPr>
              <w:t>しかし、ここ数年の間に再び耕作する意思のない土地は耕地とはしなかった。</w:t>
            </w:r>
          </w:p>
          <w:p>
            <w:pPr>
              <w:pStyle w:val="0"/>
              <w:autoSpaceDE w:val="0"/>
              <w:autoSpaceDN w:val="0"/>
              <w:adjustRightInd w:val="1"/>
              <w:ind w:left="550" w:leftChars="100" w:hanging="330" w:hangingChars="150"/>
              <w:rPr>
                <w:rFonts w:hint="default"/>
                <w:color w:val="auto"/>
              </w:rPr>
            </w:pPr>
            <w:r>
              <w:rPr>
                <w:rFonts w:hint="default"/>
                <w:color w:val="auto"/>
              </w:rPr>
              <w:t>(3)</w:t>
            </w:r>
            <w:r>
              <w:rPr>
                <w:rFonts w:hint="default" w:ascii="ＭＳ 明朝" w:hAnsi="ＭＳ 明朝"/>
                <w:color w:val="auto"/>
              </w:rPr>
              <w:t>　新しく開墾した土地は、は種できるように整地した状態になっていても、調査期日までに１回も作付けしていなければ耕地とはしなかった。</w:t>
            </w:r>
          </w:p>
          <w:p>
            <w:pPr>
              <w:pStyle w:val="0"/>
              <w:autoSpaceDE w:val="0"/>
              <w:autoSpaceDN w:val="0"/>
              <w:adjustRightInd w:val="1"/>
              <w:ind w:left="550" w:leftChars="100" w:hanging="330" w:hangingChars="150"/>
              <w:rPr>
                <w:rFonts w:hint="default"/>
                <w:color w:val="auto"/>
              </w:rPr>
            </w:pPr>
            <w:r>
              <w:rPr>
                <w:rFonts w:hint="default"/>
                <w:color w:val="auto"/>
              </w:rPr>
              <w:t>(4)</w:t>
            </w:r>
            <w:r>
              <w:rPr>
                <w:rFonts w:hint="default" w:ascii="ＭＳ 明朝" w:hAnsi="ＭＳ 明朝"/>
                <w:color w:val="auto"/>
              </w:rPr>
              <w:t>　宅地内でも１ａ以上まとまった土地に農作物を栽培している場合は耕地とした。</w:t>
            </w:r>
          </w:p>
          <w:p>
            <w:pPr>
              <w:pStyle w:val="0"/>
              <w:autoSpaceDE w:val="0"/>
              <w:autoSpaceDN w:val="0"/>
              <w:adjustRightInd w:val="1"/>
              <w:ind w:left="550" w:leftChars="100" w:hanging="330" w:hangingChars="150"/>
              <w:rPr>
                <w:rFonts w:hint="default"/>
                <w:color w:val="auto"/>
              </w:rPr>
            </w:pPr>
            <w:r>
              <w:rPr>
                <w:rFonts w:hint="default"/>
                <w:color w:val="auto"/>
              </w:rPr>
              <w:t>(5)</w:t>
            </w:r>
            <w:r>
              <w:rPr>
                <w:rFonts w:hint="default" w:ascii="ＭＳ 明朝" w:hAnsi="ＭＳ 明朝"/>
                <w:color w:val="auto"/>
              </w:rPr>
              <w:t>　ハウス、ガラス室などの敷地は耕地とした。</w:t>
            </w:r>
            <w:r>
              <w:rPr>
                <w:rFonts w:hint="default"/>
                <w:color w:val="auto"/>
              </w:rPr>
              <w:br w:type="textWrapping" w:clear="none"/>
            </w:r>
            <w:r>
              <w:rPr>
                <w:rFonts w:hint="eastAsia"/>
                <w:color w:val="auto"/>
              </w:rPr>
              <w:t>　また、</w:t>
            </w:r>
            <w:r>
              <w:rPr>
                <w:rFonts w:hint="default" w:ascii="ＭＳ 明朝" w:hAnsi="ＭＳ 明朝"/>
                <w:color w:val="auto"/>
              </w:rPr>
              <w:t>コンクリート床などで地表から植物体が遮断されている場合や、きのこ栽培専門のものの敷地は耕地とは</w:t>
            </w:r>
            <w:r>
              <w:rPr>
                <w:rFonts w:hint="eastAsia"/>
                <w:color w:val="auto"/>
              </w:rPr>
              <w:t>しなかった。ただし、農地法第</w:t>
            </w:r>
            <w:r>
              <w:rPr>
                <w:rFonts w:hint="eastAsia"/>
                <w:color w:val="auto"/>
              </w:rPr>
              <w:t>43</w:t>
            </w:r>
            <w:r>
              <w:rPr>
                <w:rFonts w:hint="eastAsia"/>
                <w:color w:val="auto"/>
              </w:rPr>
              <w:t>条に基づき</w:t>
            </w:r>
            <w:r>
              <w:rPr>
                <w:rFonts w:hint="default" w:ascii="ＭＳ 明朝" w:hAnsi="ＭＳ 明朝"/>
                <w:color w:val="auto"/>
              </w:rPr>
              <w:t>コンクリート床など</w:t>
            </w:r>
            <w:r>
              <w:rPr>
                <w:rFonts w:hint="eastAsia"/>
                <w:color w:val="auto"/>
              </w:rPr>
              <w:t>転換した農地は耕地とした。</w:t>
            </w:r>
          </w:p>
          <w:p>
            <w:pPr>
              <w:pStyle w:val="0"/>
              <w:autoSpaceDE w:val="0"/>
              <w:autoSpaceDN w:val="0"/>
              <w:adjustRightInd w:val="1"/>
              <w:ind w:left="550" w:leftChars="100" w:hanging="330" w:hangingChars="150"/>
              <w:rPr>
                <w:rFonts w:hint="default"/>
                <w:color w:val="auto"/>
              </w:rPr>
            </w:pPr>
            <w:r>
              <w:rPr>
                <w:rFonts w:hint="default"/>
                <w:color w:val="auto"/>
              </w:rPr>
              <w:t>(6)</w:t>
            </w:r>
            <w:r>
              <w:rPr>
                <w:rFonts w:hint="default" w:ascii="ＭＳ 明朝" w:hAnsi="ＭＳ 明朝"/>
                <w:color w:val="auto"/>
              </w:rPr>
              <w:t>　普通畑に牧草を作っている場合は耕地とした。また、林野を耕起して作った牧草地（いわゆる造成草地）も耕地とした。</w:t>
            </w:r>
          </w:p>
          <w:p>
            <w:pPr>
              <w:pStyle w:val="0"/>
              <w:autoSpaceDE w:val="0"/>
              <w:autoSpaceDN w:val="0"/>
              <w:adjustRightInd w:val="1"/>
              <w:ind w:left="550" w:leftChars="250" w:firstLine="220" w:firstLineChars="100"/>
              <w:rPr>
                <w:rFonts w:hint="default"/>
                <w:color w:val="auto"/>
              </w:rPr>
            </w:pPr>
            <w:r>
              <w:rPr>
                <w:rFonts w:hint="default" w:ascii="ＭＳ 明朝" w:hAnsi="ＭＳ 明朝"/>
                <w:color w:val="auto"/>
              </w:rPr>
              <w:t>なお、施肥・補はんなどの肥培管理をしている牧草栽培地は、は種後何年経過していても耕地とし、肥培管理をやめていて近く更新することが確定していないものは耕地以外の土地とした。</w:t>
            </w:r>
          </w:p>
          <w:p>
            <w:pPr>
              <w:pStyle w:val="0"/>
              <w:autoSpaceDE w:val="0"/>
              <w:autoSpaceDN w:val="0"/>
              <w:adjustRightInd w:val="1"/>
              <w:ind w:left="550" w:leftChars="100" w:hanging="330" w:hangingChars="150"/>
              <w:rPr>
                <w:rFonts w:hint="default"/>
                <w:color w:val="auto"/>
              </w:rPr>
            </w:pPr>
            <w:r>
              <w:rPr>
                <w:rFonts w:hint="default"/>
                <w:color w:val="auto"/>
              </w:rPr>
              <w:t>(7)</w:t>
            </w:r>
            <w:r>
              <w:rPr>
                <w:rFonts w:hint="default" w:ascii="ＭＳ 明朝" w:hAnsi="ＭＳ 明朝"/>
                <w:color w:val="auto"/>
              </w:rPr>
              <w:t>　堤防と河川・湖沼との間にある土地に作物を栽培している場合は耕地とした。</w:t>
            </w:r>
          </w:p>
          <w:p>
            <w:pPr>
              <w:pStyle w:val="0"/>
              <w:autoSpaceDE w:val="0"/>
              <w:autoSpaceDN w:val="0"/>
              <w:adjustRightInd w:val="1"/>
              <w:ind w:firstLine="220" w:firstLineChars="100"/>
              <w:rPr>
                <w:rFonts w:hint="default"/>
                <w:color w:val="auto"/>
              </w:rPr>
            </w:pPr>
            <w:r>
              <w:rPr>
                <w:rFonts w:hint="default"/>
                <w:color w:val="auto"/>
              </w:rPr>
              <w:t>(8)</w:t>
            </w:r>
            <w:r>
              <w:rPr>
                <w:rFonts w:hint="default" w:ascii="ＭＳ 明朝" w:hAnsi="ＭＳ 明朝"/>
                <w:color w:val="auto"/>
              </w:rPr>
              <w:t>　植林用苗木を栽培している土地は耕地とした。</w:t>
            </w:r>
          </w:p>
          <w:p>
            <w:pPr>
              <w:pStyle w:val="0"/>
              <w:autoSpaceDE w:val="0"/>
              <w:autoSpaceDN w:val="0"/>
              <w:adjustRightInd w:val="1"/>
              <w:ind w:left="550" w:leftChars="100" w:hanging="330" w:hangingChars="150"/>
              <w:rPr>
                <w:rFonts w:hint="default"/>
                <w:color w:val="auto"/>
              </w:rPr>
            </w:pPr>
            <w:r>
              <w:rPr>
                <w:rFonts w:hint="default"/>
                <w:color w:val="auto"/>
              </w:rPr>
              <w:t>(9)</w:t>
            </w:r>
            <w:r>
              <w:rPr>
                <w:rFonts w:hint="default" w:ascii="ＭＳ 明朝" w:hAnsi="ＭＳ 明朝"/>
                <w:color w:val="auto"/>
              </w:rPr>
              <w:t>　肥培管理を行っているたけのこ、くり、くるみ、山茶、こうぞ、みつまた、</w:t>
            </w:r>
            <w:r>
              <w:rPr>
                <w:rFonts w:hint="eastAsia"/>
                <w:color w:val="auto"/>
              </w:rPr>
              <w:t>はぜ、こりやなぎ、油桐、あべまき、うるし、つばきなどの栽培地は耕地とした（刈敷程度は肥培管理とみなさない。）。</w:t>
            </w:r>
          </w:p>
        </w:tc>
      </w:tr>
      <w:tr>
        <w:trPr>
          <w:trHeight w:val="4139"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rPr>
              <w:t>　田</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1"/>
              <w:ind w:firstLine="220" w:firstLineChars="100"/>
              <w:rPr>
                <w:rFonts w:hint="default"/>
              </w:rPr>
            </w:pPr>
            <w:r>
              <w:rPr>
                <w:rFonts w:hint="eastAsia"/>
              </w:rPr>
              <w:t>耕地のうち、水をたたえるためのけい畔のある土地をいう。</w:t>
            </w:r>
          </w:p>
          <w:p>
            <w:pPr>
              <w:pStyle w:val="0"/>
              <w:adjustRightInd w:val="1"/>
              <w:ind w:firstLine="220" w:firstLineChars="100"/>
              <w:rPr>
                <w:rFonts w:hint="default"/>
              </w:rPr>
            </w:pPr>
            <w:r>
              <w:rPr>
                <w:rFonts w:hint="eastAsia"/>
              </w:rPr>
              <w:t>水をたたえるということは、人工かんがいによるものだけではなく、自然に耕地がかんがいされるようなものも含めた。したがって、天水田、湧水田なども田とした。</w:t>
            </w:r>
          </w:p>
          <w:p>
            <w:pPr>
              <w:pStyle w:val="0"/>
              <w:adjustRightInd w:val="1"/>
              <w:ind w:left="550" w:leftChars="100" w:hanging="330" w:hangingChars="150"/>
              <w:rPr>
                <w:rFonts w:hint="default"/>
              </w:rPr>
            </w:pPr>
            <w:r>
              <w:rPr>
                <w:rFonts w:hint="default"/>
              </w:rPr>
              <w:t xml:space="preserve">(1)  </w:t>
            </w:r>
            <w:r>
              <w:rPr>
                <w:rFonts w:hint="default" w:ascii="Times New Roman" w:hAnsi="Times New Roman"/>
              </w:rPr>
              <w:t>陸田（もとは畑であったが、現在はけい畔を作り水をたたえるようにしてある土地やたん水のためビニールを張り水稲を作っている土地）も田とした。</w:t>
            </w:r>
          </w:p>
          <w:p>
            <w:pPr>
              <w:pStyle w:val="0"/>
              <w:adjustRightInd w:val="1"/>
              <w:ind w:left="550" w:leftChars="100" w:hanging="330" w:hangingChars="150"/>
              <w:rPr>
                <w:rFonts w:hint="default"/>
              </w:rPr>
            </w:pPr>
            <w:r>
              <w:rPr>
                <w:rFonts w:hint="default"/>
              </w:rPr>
              <w:t xml:space="preserve">(2)  </w:t>
            </w:r>
            <w:r>
              <w:rPr>
                <w:rFonts w:hint="default" w:ascii="Times New Roman" w:hAnsi="Times New Roman"/>
              </w:rPr>
              <w:t>ただし、もとは田であってけい畔が残っていても、果樹・桑・茶など永年性の木本性周年植物を栽培している耕地は田とせず樹園地とした。また、同様にさとうきびを栽培していれば普通畑とした。</w:t>
            </w:r>
          </w:p>
          <w:p>
            <w:pPr>
              <w:pStyle w:val="0"/>
              <w:adjustRightInd w:val="1"/>
              <w:ind w:left="550" w:leftChars="250" w:firstLine="220" w:firstLineChars="100"/>
              <w:rPr>
                <w:rFonts w:hint="default"/>
              </w:rPr>
            </w:pPr>
            <w:r>
              <w:rPr>
                <w:rFonts w:hint="eastAsia"/>
              </w:rPr>
              <w:t>なお、水をたたえるためのけい畔を作らず畑地にかんがいしている土地は、たとえ水稲を作っていても畑とした。</w:t>
            </w:r>
          </w:p>
        </w:tc>
      </w:tr>
      <w:tr>
        <w:trPr>
          <w:trHeight w:val="1191"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畑</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color w:val="auto"/>
              </w:rPr>
              <w:t>　</w:t>
            </w:r>
            <w:r>
              <w:rPr>
                <w:rFonts w:hint="eastAsia"/>
              </w:rPr>
              <w:t>耕地のうち田と樹園地を除いた耕地をいう。</w:t>
            </w:r>
          </w:p>
          <w:p>
            <w:pPr>
              <w:pStyle w:val="0"/>
              <w:ind w:firstLine="220" w:firstLineChars="100"/>
              <w:rPr>
                <w:rFonts w:hint="default"/>
                <w:color w:val="auto"/>
              </w:rPr>
            </w:pPr>
            <w:r>
              <w:rPr>
                <w:rFonts w:hint="eastAsia"/>
              </w:rPr>
              <w:t>なお、焼畑、切替畑（林野で抜根せず、火入れにより作物を栽培する畑及び畑と山林を輪番し、切り替えて利用する畑）など不安定な土地も畑とした。</w:t>
            </w:r>
          </w:p>
        </w:tc>
      </w:tr>
      <w:tr>
        <w:trPr>
          <w:trHeight w:val="2308"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color w:val="auto"/>
              </w:rPr>
            </w:pPr>
            <w:r>
              <w:rPr>
                <w:rFonts w:hint="eastAsia"/>
                <w:color w:val="auto"/>
              </w:rPr>
              <w:t>樹園地</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color w:val="auto"/>
              </w:rPr>
            </w:pPr>
            <w:r>
              <w:rPr>
                <w:rFonts w:hint="eastAsia"/>
                <w:color w:val="auto"/>
              </w:rPr>
              <w:t>木本性周年作物を規則的又は連続的に栽培している土地で果樹、茶、桑などが１ａ以上まとまっているもの（一定の畝幅及び株間を持ち、前後左右に連続して栽培されていることをいう。）で肥培管理している土地をいう。</w:t>
            </w:r>
          </w:p>
          <w:p>
            <w:pPr>
              <w:pStyle w:val="0"/>
              <w:ind w:firstLine="220" w:firstLineChars="100"/>
              <w:rPr>
                <w:rFonts w:hint="default"/>
                <w:color w:val="auto"/>
              </w:rPr>
            </w:pPr>
            <w:r>
              <w:rPr>
                <w:rFonts w:hint="eastAsia"/>
                <w:color w:val="auto"/>
              </w:rPr>
              <w:t>花木類などを５年以上栽培している土地もここに含めた。</w:t>
            </w:r>
          </w:p>
          <w:p>
            <w:pPr>
              <w:pStyle w:val="0"/>
              <w:ind w:firstLine="220" w:firstLineChars="100"/>
              <w:rPr>
                <w:rFonts w:hint="default"/>
                <w:color w:val="auto"/>
              </w:rPr>
            </w:pPr>
            <w:r>
              <w:rPr>
                <w:rFonts w:hint="eastAsia"/>
                <w:color w:val="auto"/>
              </w:rPr>
              <w:t>なお、樹園地に間作している場合は、利用面積により普通畑と樹園地に分けて計上した。</w:t>
            </w:r>
          </w:p>
        </w:tc>
      </w:tr>
    </w:tbl>
    <w:p>
      <w:pPr>
        <w:pStyle w:val="0"/>
        <w:spacing w:line="360" w:lineRule="auto"/>
        <w:ind w:firstLine="220" w:firstLineChars="100"/>
        <w:rPr>
          <w:rFonts w:hint="default"/>
        </w:rPr>
      </w:pPr>
    </w:p>
    <w:p>
      <w:pPr>
        <w:pStyle w:val="4"/>
        <w:ind w:left="440"/>
        <w:rPr>
          <w:rFonts w:hint="default"/>
        </w:rPr>
      </w:pPr>
      <w:r>
        <w:rPr>
          <w:rFonts w:hint="eastAsia"/>
        </w:rPr>
        <w:t>イ　農産物の販売</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6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農産物販売金額</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肥料代、農薬代、飼料代等の諸経費を差引く前の売上金額（消費税を含む。）をいう。</w:t>
            </w:r>
          </w:p>
        </w:tc>
      </w:tr>
    </w:tbl>
    <w:p>
      <w:pPr>
        <w:pStyle w:val="0"/>
        <w:spacing w:line="360" w:lineRule="auto"/>
        <w:rPr>
          <w:rFonts w:hint="default"/>
          <w:color w:val="auto"/>
        </w:rPr>
      </w:pPr>
    </w:p>
    <w:p>
      <w:pPr>
        <w:pStyle w:val="4"/>
        <w:ind w:left="440"/>
        <w:rPr>
          <w:rFonts w:hint="default"/>
        </w:rPr>
      </w:pPr>
      <w:r>
        <w:rPr>
          <w:rFonts w:hint="eastAsia"/>
        </w:rPr>
        <w:t>ウ　</w:t>
      </w:r>
      <w:r>
        <w:rPr>
          <w:rFonts w:hint="default"/>
        </w:rPr>
        <w:t>農業経営組織別</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単一経営経営体</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農産物販売金額のうち、主位部門の販売金額が８割以上の経営体をいう。</w:t>
            </w:r>
          </w:p>
        </w:tc>
      </w:tr>
      <w:tr>
        <w:trPr>
          <w:trHeight w:val="582"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複合経営経営体</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color w:val="auto"/>
              </w:rPr>
            </w:pPr>
            <w:r>
              <w:rPr>
                <w:rFonts w:hint="eastAsia"/>
                <w:color w:val="auto"/>
              </w:rPr>
              <w:t>単一経営以外をいい、農産物販売金額のうち、主位部門の販売金額が８割未満（販売のなかった経営体を除く。）の経営体をいう。</w:t>
            </w:r>
          </w:p>
        </w:tc>
      </w:tr>
    </w:tbl>
    <w:p>
      <w:pPr>
        <w:pStyle w:val="0"/>
        <w:ind w:firstLine="220" w:firstLineChars="100"/>
        <w:rPr>
          <w:rFonts w:hint="default"/>
        </w:rPr>
      </w:pPr>
    </w:p>
    <w:p>
      <w:pPr>
        <w:pStyle w:val="4"/>
        <w:ind w:left="440"/>
        <w:rPr>
          <w:rFonts w:hint="default"/>
        </w:rPr>
      </w:pPr>
      <w:r>
        <w:rPr>
          <w:rFonts w:hint="eastAsia"/>
        </w:rPr>
        <w:t>エ　農業生産</w:t>
      </w:r>
    </w:p>
    <w:p>
      <w:pPr>
        <w:pStyle w:val="5"/>
        <w:ind w:left="440"/>
        <w:rPr>
          <w:rFonts w:hint="default" w:ascii="ＭＳ ゴシック" w:hAnsi="ＭＳ ゴシック"/>
          <w:sz w:val="24"/>
        </w:rPr>
      </w:pPr>
      <w:r>
        <w:rPr>
          <w:rFonts w:hint="eastAsia"/>
        </w:rPr>
        <w:t>（ア）</w:t>
      </w:r>
      <w:r>
        <w:rPr>
          <w:rFonts w:hint="eastAsia"/>
        </w:rPr>
        <w:t xml:space="preserve"> </w:t>
      </w:r>
      <w:r>
        <w:rPr>
          <w:rFonts w:hint="eastAsia"/>
        </w:rPr>
        <w:t>販売目的の作物</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1447"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販売目的の作物</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販売を目的で作付け（栽培）した作物であり、自給用のみを作付け（栽培）した場合は含めない。</w:t>
            </w:r>
          </w:p>
          <w:p>
            <w:pPr>
              <w:pStyle w:val="0"/>
              <w:suppressAutoHyphens w:val="1"/>
              <w:autoSpaceDE w:val="0"/>
              <w:autoSpaceDN w:val="0"/>
              <w:spacing w:line="342" w:lineRule="atLeast"/>
              <w:ind w:firstLine="206"/>
              <w:jc w:val="left"/>
              <w:rPr>
                <w:rFonts w:hint="default"/>
                <w:color w:val="auto"/>
              </w:rPr>
            </w:pPr>
            <w:r>
              <w:rPr>
                <w:rFonts w:hint="eastAsia"/>
                <w:color w:val="auto"/>
              </w:rPr>
              <w:t>また、販売目的で作付け（栽培）したものを、たまたまその一部を自給向けにした場合は含めた。</w:t>
            </w:r>
          </w:p>
        </w:tc>
      </w:tr>
    </w:tbl>
    <w:p>
      <w:pPr>
        <w:pStyle w:val="0"/>
        <w:rPr>
          <w:rFonts w:hint="default"/>
        </w:rPr>
      </w:pPr>
    </w:p>
    <w:p>
      <w:pPr>
        <w:pStyle w:val="5"/>
        <w:ind w:left="440"/>
        <w:rPr>
          <w:rFonts w:hint="default"/>
        </w:rPr>
      </w:pPr>
      <w:r>
        <w:rPr>
          <w:rFonts w:hint="eastAsia"/>
          <w:color w:val="auto"/>
        </w:rPr>
        <w:t>（イ）</w:t>
      </w:r>
      <w:r>
        <w:rPr>
          <w:rFonts w:hint="eastAsia"/>
          <w:color w:val="auto"/>
        </w:rPr>
        <w:t xml:space="preserve"> </w:t>
      </w:r>
      <w:r>
        <w:rPr>
          <w:rFonts w:hint="eastAsia"/>
        </w:rPr>
        <w:t>販売目的の家畜</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187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乳用牛</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現在搾乳中の牛（乾乳中の牛を含む。）のほか、将来搾乳する目的で飼っている牛、種牛（種牛候補を含む。）及びと殺前に一時肥育している乳廃牛をいう。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なお、肉用として肥育している未経産牛や肉用のおす牛、産後すぐ（１週間程度）に肉用として売る予定の子牛は、ここには含めずに肉用牛に含めた。</w:t>
            </w:r>
          </w:p>
        </w:tc>
      </w:tr>
      <w:tr>
        <w:trPr>
          <w:trHeight w:val="1384"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肉用牛</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肉用を目的として飼養している乳用牛以外の牛をいう。</w:t>
            </w:r>
          </w:p>
          <w:p>
            <w:pPr>
              <w:pStyle w:val="0"/>
              <w:suppressAutoHyphens w:val="1"/>
              <w:autoSpaceDE w:val="0"/>
              <w:autoSpaceDN w:val="0"/>
              <w:spacing w:line="342" w:lineRule="atLeast"/>
              <w:ind w:firstLine="206"/>
              <w:jc w:val="left"/>
              <w:rPr>
                <w:rFonts w:hint="default"/>
                <w:color w:val="auto"/>
              </w:rPr>
            </w:pPr>
            <w:r>
              <w:rPr>
                <w:rFonts w:hint="eastAsia"/>
                <w:color w:val="auto"/>
              </w:rPr>
              <w:t>乳用牛、肉用牛の区分は、品種区分ではなく、利用目的によって区分しており、乳用種のおすばかりでなく、子取り用のめす牛や未経産のめす牛も肥育を目的として飼養している場合は肉用牛とした。</w:t>
            </w:r>
          </w:p>
        </w:tc>
      </w:tr>
      <w:tr>
        <w:trPr>
          <w:trHeight w:val="425"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和牛と乳用種の交雑種</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乳用種のめすに肉用種のおすを交配し生産された、いわゆるＦ１牛をいう。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なお、Ｆ１牛のめすに肉用種のおすを交配し生産されたＦ１クロス牛も含む。</w:t>
            </w:r>
          </w:p>
        </w:tc>
      </w:tr>
      <w:tr>
        <w:trPr>
          <w:trHeight w:val="825"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豚</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自ら肥育し、肉用として販売することを目的に飼養している豚及び子取り用に飼養している６か月齢以上のめす豚をいう。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採卵鶏</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卵の販売目的で飼養している鶏（ひなどりを含む。）をいう。</w:t>
            </w:r>
          </w:p>
          <w:p>
            <w:pPr>
              <w:pStyle w:val="0"/>
              <w:suppressAutoHyphens w:val="1"/>
              <w:autoSpaceDE w:val="0"/>
              <w:autoSpaceDN w:val="0"/>
              <w:spacing w:line="342" w:lineRule="atLeast"/>
              <w:ind w:firstLine="206"/>
              <w:jc w:val="left"/>
              <w:rPr>
                <w:rFonts w:hint="default"/>
                <w:color w:val="auto"/>
              </w:rPr>
            </w:pPr>
            <w:r>
              <w:rPr>
                <w:rFonts w:hint="eastAsia"/>
                <w:color w:val="auto"/>
              </w:rPr>
              <w:t>種鶏やブロイラー、愛玩用の東天紅・尾長鳥・ちゃぼなどは含まない。</w:t>
            </w:r>
          </w:p>
          <w:p>
            <w:pPr>
              <w:pStyle w:val="0"/>
              <w:suppressAutoHyphens w:val="1"/>
              <w:autoSpaceDE w:val="0"/>
              <w:autoSpaceDN w:val="0"/>
              <w:spacing w:line="342" w:lineRule="atLeast"/>
              <w:ind w:firstLine="206"/>
              <w:jc w:val="left"/>
              <w:rPr>
                <w:rFonts w:hint="default"/>
                <w:color w:val="auto"/>
              </w:rPr>
            </w:pPr>
            <w:r>
              <w:rPr>
                <w:rFonts w:hint="eastAsia"/>
                <w:color w:val="auto"/>
              </w:rPr>
              <w:t>なお、廃鶏も調査期日現在でまだ飼養していれば、便宜上ここに含めた。</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ブロイラー</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当初から食用に供する目的で飼養し、原則としてふ化後３か月未満で肉用として出荷した鶏をいう。</w:t>
            </w:r>
          </w:p>
          <w:p>
            <w:pPr>
              <w:pStyle w:val="0"/>
              <w:suppressAutoHyphens w:val="1"/>
              <w:autoSpaceDE w:val="0"/>
              <w:autoSpaceDN w:val="0"/>
              <w:spacing w:line="342" w:lineRule="atLeast"/>
              <w:ind w:firstLine="206"/>
              <w:jc w:val="left"/>
              <w:rPr>
                <w:rFonts w:hint="default"/>
                <w:color w:val="auto"/>
              </w:rPr>
            </w:pPr>
            <w:r>
              <w:rPr>
                <w:rFonts w:hint="eastAsia"/>
                <w:color w:val="auto"/>
              </w:rPr>
              <w:t>肉用種、卵用種は問わない。</w:t>
            </w:r>
          </w:p>
        </w:tc>
      </w:tr>
    </w:tbl>
    <w:p>
      <w:pPr>
        <w:pStyle w:val="0"/>
        <w:rPr>
          <w:rFonts w:hint="default"/>
        </w:rPr>
      </w:pPr>
    </w:p>
    <w:p>
      <w:pPr>
        <w:pStyle w:val="4"/>
        <w:ind w:left="440"/>
        <w:rPr>
          <w:rFonts w:hint="default" w:ascii="ＭＳ ゴシック" w:hAnsi="ＭＳ ゴシック"/>
          <w:sz w:val="24"/>
        </w:rPr>
      </w:pPr>
      <w:r>
        <w:rPr>
          <w:rFonts w:hint="eastAsia"/>
        </w:rPr>
        <w:t>オ　農作業の受託</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49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農作業の受託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農家等から農作業の全部又は一部を請け負うことをいう。</w:t>
            </w:r>
          </w:p>
        </w:tc>
      </w:tr>
    </w:tbl>
    <w:p>
      <w:pPr>
        <w:pStyle w:val="0"/>
        <w:rPr>
          <w:rFonts w:hint="default"/>
        </w:rPr>
      </w:pPr>
    </w:p>
    <w:p>
      <w:pPr>
        <w:pStyle w:val="4"/>
        <w:ind w:left="440"/>
        <w:rPr>
          <w:rFonts w:hint="default"/>
        </w:rPr>
      </w:pPr>
      <w:r>
        <w:rPr>
          <w:rFonts w:hint="eastAsia"/>
        </w:rPr>
        <w:t>カ　農業経営の取組</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4"/>
        <w:gridCol w:w="7366"/>
        <w:gridCol w:w="6"/>
      </w:tblGrid>
      <w:tr>
        <w:trPr>
          <w:gridAfter w:val="1"/>
          <w:wAfter w:w="6" w:type="dxa"/>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農業生産関連事業</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「農産物の加工」、「小売業」、「観光農園」、「貸農園・体験農園」、「農家民宿」、「農家レストラン」及び「海外への輸出」など農業生産に関連した事業をいう。</w:t>
            </w:r>
          </w:p>
        </w:tc>
      </w:tr>
      <w:tr>
        <w:trPr>
          <w:gridAfter w:val="1"/>
          <w:wAfter w:w="6" w:type="dxa"/>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農産物の加工</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販売を目的として、自ら生産した農産物をその使用割合の多少にかかわらず用いて加工している事業をいう。</w:t>
            </w:r>
          </w:p>
        </w:tc>
      </w:tr>
      <w:tr>
        <w:trPr>
          <w:gridAfter w:val="1"/>
          <w:wAfter w:w="6" w:type="dxa"/>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小売業</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自ら生産した農産物やその加工品を消費者などに販売している（インターネットや行商などにより店舗を持たないで販売している場合を含む。）事業や、消費者などと販売契約して直送する事業をいう。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なお、自らが経営に参加していない直売所等は含まない。</w:t>
            </w:r>
          </w:p>
        </w:tc>
      </w:tr>
      <w:tr>
        <w:trPr>
          <w:gridAfter w:val="1"/>
          <w:wAfter w:w="6" w:type="dxa"/>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観光農園</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農業を営む者が、観光客等を対象に、自ら生産した農産物の収穫等の一部の農作業を体験させ又はほ場を観賞させて、料金を得ている事業をいう。</w:t>
            </w:r>
          </w:p>
        </w:tc>
      </w:tr>
      <w:tr>
        <w:trPr>
          <w:gridAfter w:val="1"/>
          <w:wAfter w:w="6" w:type="dxa"/>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貸農園・体験農園等</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所有又は借り入れている農地を、第三者を経由せず、農園利用方式等により非農業者に利用させ、使用料を得ている事業をいう。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なお、自己所有耕地を地方公共団体・農協が経営する市民農園に有償で貸与しているものは含まない。</w:t>
            </w:r>
          </w:p>
        </w:tc>
      </w:tr>
      <w:tr>
        <w:trPr>
          <w:gridAfter w:val="1"/>
          <w:wAfter w:w="6" w:type="dxa"/>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農家民宿</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農業を営む者が、旅館業法（昭和</w:t>
            </w:r>
            <w:r>
              <w:rPr>
                <w:rFonts w:hint="eastAsia"/>
                <w:color w:val="auto"/>
              </w:rPr>
              <w:t>23</w:t>
            </w:r>
            <w:r>
              <w:rPr>
                <w:rFonts w:hint="eastAsia"/>
                <w:color w:val="auto"/>
              </w:rPr>
              <w:t>年法律第</w:t>
            </w:r>
            <w:r>
              <w:rPr>
                <w:rFonts w:hint="eastAsia"/>
                <w:color w:val="auto"/>
              </w:rPr>
              <w:t>138</w:t>
            </w:r>
            <w:r>
              <w:rPr>
                <w:rFonts w:hint="eastAsia"/>
                <w:color w:val="auto"/>
              </w:rPr>
              <w:t>号）に基づき都道府県知事等の許可を得て、観光客等の第三者を宿泊させ、自ら生産した農産物や地域の食材をその使用割合の多少にかかわらず用いた料理を提供し、料金を得ている事業をいう。</w:t>
            </w:r>
          </w:p>
        </w:tc>
      </w:tr>
      <w:tr>
        <w:trPr>
          <w:gridAfter w:val="1"/>
          <w:wAfter w:w="6" w:type="dxa"/>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9" w:firstLine="24" w:firstLineChars="11"/>
              <w:jc w:val="left"/>
              <w:rPr>
                <w:rFonts w:hint="default"/>
                <w:color w:val="auto"/>
              </w:rPr>
            </w:pPr>
            <w:r>
              <w:rPr>
                <w:rFonts w:hint="eastAsia"/>
                <w:color w:val="auto"/>
              </w:rPr>
              <w:t>農家レストラン</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農業を営む者が、食品衛生法（昭和</w:t>
            </w:r>
            <w:r>
              <w:rPr>
                <w:rFonts w:hint="eastAsia"/>
                <w:color w:val="auto"/>
              </w:rPr>
              <w:t>22</w:t>
            </w:r>
            <w:r>
              <w:rPr>
                <w:rFonts w:hint="eastAsia"/>
                <w:color w:val="auto"/>
              </w:rPr>
              <w:t>年法律第</w:t>
            </w:r>
            <w:r>
              <w:rPr>
                <w:rFonts w:hint="eastAsia"/>
                <w:color w:val="auto"/>
              </w:rPr>
              <w:t>233</w:t>
            </w:r>
            <w:r>
              <w:rPr>
                <w:rFonts w:hint="eastAsia"/>
                <w:color w:val="auto"/>
              </w:rPr>
              <w:t>号）に基づき、都道府県知事等の許可を得て、不特定の者に、自ら生産した農産物や地域の食材をその使用割合の多少にかかわらず用いた料理を提供し代金を得ている事業をいう。</w:t>
            </w:r>
          </w:p>
        </w:tc>
      </w:tr>
      <w:tr>
        <w:trPr>
          <w:gridAfter w:val="1"/>
          <w:wAfter w:w="6" w:type="dxa"/>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海外への輸出</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農業を営む者が、収穫した農産物等を直接又は商社や団体を経由（手続きの委託や販売の代行のため）して海外へ輸出している場合、又は輸出を目的として農産物を生産している場合をいう。</w:t>
            </w:r>
          </w:p>
        </w:tc>
      </w:tr>
      <w:tr>
        <w:trPr>
          <w:gridAfter w:val="1"/>
          <w:wAfter w:w="6" w:type="dxa"/>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再生可能エネルギー発電</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農林地等において再生することが可能な資源（バイオマス、太陽光、水力等）から発電している事業をいう。</w:t>
            </w:r>
            <w:r>
              <w:rPr>
                <w:rFonts w:hint="eastAsia"/>
                <w:color w:val="auto"/>
              </w:rPr>
              <w:t xml:space="preserve"> </w:t>
            </w:r>
          </w:p>
        </w:tc>
      </w:tr>
      <w:tr>
        <w:tblPrEx>
          <w:tblCellMar>
            <w:top w:w="57" w:type="dxa"/>
            <w:bottom w:w="57" w:type="dxa"/>
          </w:tblCellMar>
          <w:tblLook w:firstRow="0" w:lastRow="0" w:firstColumn="0" w:lastColumn="0" w:noHBand="0" w:noVBand="0" w:val="0000"/>
        </w:tblPrEx>
        <w:trPr>
          <w:trHeight w:val="57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青色申告</w:t>
            </w:r>
          </w:p>
        </w:tc>
        <w:tc>
          <w:tcPr>
            <w:tcW w:w="7372"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不動産所得、事業所得、山林所得のある人で、納税地の所轄税務署長の承認を受けた人が確定申告を行う際に、一定の帳簿を備え付け、日々の取引を記帳し、その記録に基づいて申告する制度をいう。</w:t>
            </w:r>
          </w:p>
        </w:tc>
      </w:tr>
      <w:tr>
        <w:tblPrEx>
          <w:tblCellMar>
            <w:top w:w="57" w:type="dxa"/>
            <w:bottom w:w="57" w:type="dxa"/>
          </w:tblCellMar>
          <w:tblLook w:firstRow="0" w:lastRow="0" w:firstColumn="0" w:lastColumn="0" w:noHBand="0" w:noVBand="0" w:val="0000"/>
        </w:tblPrEx>
        <w:trPr>
          <w:trHeight w:val="13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正規の簿記</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損益計算書と貸借対照表が導き出せる組織的な簿記の方式</w:t>
            </w:r>
            <w:r>
              <w:rPr>
                <w:rFonts w:hint="default"/>
                <w:color w:val="auto"/>
              </w:rPr>
              <w:t xml:space="preserve"> </w:t>
            </w:r>
            <w:r>
              <w:rPr>
                <w:rFonts w:hint="default" w:ascii="ＭＳ 明朝" w:hAnsi="ＭＳ 明朝"/>
                <w:color w:val="auto"/>
              </w:rPr>
              <w:t>（一般的には複式簿記）を行っている場合</w:t>
            </w:r>
            <w:r>
              <w:rPr>
                <w:rFonts w:hint="eastAsia"/>
                <w:color w:val="auto"/>
              </w:rPr>
              <w:t>をいう</w:t>
            </w:r>
            <w:r>
              <w:rPr>
                <w:rFonts w:hint="default" w:ascii="ＭＳ 明朝" w:hAnsi="ＭＳ 明朝"/>
                <w:color w:val="auto"/>
              </w:rPr>
              <w:t>。</w:t>
            </w:r>
            <w:r>
              <w:rPr>
                <w:rFonts w:hint="default"/>
                <w:color w:val="auto"/>
              </w:rPr>
              <w:t xml:space="preserve"> </w:t>
            </w:r>
          </w:p>
        </w:tc>
      </w:tr>
      <w:tr>
        <w:tblPrEx>
          <w:tblCellMar>
            <w:top w:w="57" w:type="dxa"/>
            <w:bottom w:w="57" w:type="dxa"/>
          </w:tblCellMar>
          <w:tblLook w:firstRow="0" w:lastRow="0" w:firstColumn="0" w:lastColumn="0" w:noHBand="0" w:noVBand="0" w:val="0000"/>
        </w:tblPrEx>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簡易簿記</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「正規の簿記」以外の簡易な帳簿による記帳を行っている場合をいう。</w:t>
            </w:r>
          </w:p>
        </w:tc>
      </w:tr>
      <w:tr>
        <w:tblPrEx>
          <w:tblCellMar>
            <w:top w:w="57" w:type="dxa"/>
            <w:bottom w:w="57" w:type="dxa"/>
          </w:tblCellMar>
          <w:tblLook w:firstRow="0" w:lastRow="0" w:firstColumn="0" w:lastColumn="0" w:noHBand="0" w:noVBand="0" w:val="0000"/>
        </w:tblPrEx>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4" w:leftChars="88"/>
              <w:jc w:val="left"/>
              <w:rPr>
                <w:rFonts w:hint="default"/>
                <w:color w:val="auto"/>
              </w:rPr>
            </w:pPr>
            <w:r>
              <w:rPr>
                <w:rFonts w:hint="eastAsia"/>
                <w:color w:val="auto"/>
              </w:rPr>
              <w:t>現金主義</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現金主義による所得計算の特例を受けている場合をいう。</w:t>
            </w:r>
          </w:p>
        </w:tc>
      </w:tr>
      <w:tr>
        <w:tblPrEx>
          <w:tblCellMar>
            <w:top w:w="57" w:type="dxa"/>
            <w:bottom w:w="57" w:type="dxa"/>
          </w:tblCellMar>
          <w:tblLook w:firstRow="0" w:lastRow="0" w:firstColumn="0" w:lastColumn="0" w:noHBand="0" w:noVBand="0" w:val="0000"/>
        </w:tblPrEx>
        <w:trPr>
          <w:trHeight w:val="283"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有機農業</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化学肥料及び農薬を使用せず、遺伝子組換え技術も利用しない農業のことで、減化学肥料・減農薬栽培は含まない。</w:t>
            </w:r>
            <w:r>
              <w:rPr>
                <w:rFonts w:hint="default"/>
                <w:color w:val="auto"/>
              </w:rPr>
              <w:t xml:space="preserve"> </w:t>
            </w:r>
          </w:p>
          <w:p>
            <w:pPr>
              <w:pStyle w:val="0"/>
              <w:suppressAutoHyphens w:val="1"/>
              <w:autoSpaceDE w:val="0"/>
              <w:autoSpaceDN w:val="0"/>
              <w:spacing w:line="342" w:lineRule="atLeast"/>
              <w:ind w:firstLine="206"/>
              <w:jc w:val="left"/>
              <w:rPr>
                <w:rFonts w:hint="default"/>
                <w:color w:val="auto"/>
              </w:rPr>
            </w:pPr>
            <w:r>
              <w:rPr>
                <w:rFonts w:hint="default" w:ascii="ＭＳ 明朝" w:hAnsi="ＭＳ 明朝"/>
                <w:color w:val="auto"/>
              </w:rPr>
              <w:t>また、自然農法に取り組んでいる場合や有機</w:t>
            </w:r>
            <w:r>
              <w:rPr>
                <w:rFonts w:hint="eastAsia"/>
                <w:color w:val="auto"/>
              </w:rPr>
              <w:t>JAS</w:t>
            </w:r>
            <w:r>
              <w:rPr>
                <w:rFonts w:hint="default" w:ascii="ＭＳ 明朝" w:hAnsi="ＭＳ 明朝"/>
                <w:color w:val="auto"/>
              </w:rPr>
              <w:t>の認証を受けていない方で</w:t>
            </w:r>
            <w:r>
              <w:rPr>
                <w:rFonts w:hint="eastAsia"/>
                <w:color w:val="auto"/>
              </w:rPr>
              <w:t>も</w:t>
            </w:r>
            <w:r>
              <w:rPr>
                <w:rFonts w:hint="default" w:ascii="ＭＳ 明朝" w:hAnsi="ＭＳ 明朝"/>
                <w:color w:val="auto"/>
              </w:rPr>
              <w:t>、化学肥料及び農薬を使用せず、遺伝子組換え技術も利用しないで農業に取り組んでいる場合</w:t>
            </w:r>
            <w:r>
              <w:rPr>
                <w:rFonts w:hint="eastAsia"/>
                <w:color w:val="auto"/>
              </w:rPr>
              <w:t>を含む</w:t>
            </w:r>
            <w:r>
              <w:rPr>
                <w:rFonts w:hint="default" w:ascii="ＭＳ 明朝" w:hAnsi="ＭＳ 明朝"/>
                <w:color w:val="auto"/>
              </w:rPr>
              <w:t>。</w:t>
            </w:r>
            <w:r>
              <w:rPr>
                <w:rFonts w:hint="default"/>
                <w:color w:val="auto"/>
              </w:rPr>
              <w:t xml:space="preserve"> </w:t>
            </w:r>
          </w:p>
        </w:tc>
      </w:tr>
      <w:tr>
        <w:tblPrEx>
          <w:tblCellMar>
            <w:top w:w="57" w:type="dxa"/>
            <w:bottom w:w="57" w:type="dxa"/>
          </w:tblCellMar>
          <w:tblLook w:firstRow="0" w:lastRow="0" w:firstColumn="0" w:lastColumn="0" w:noHBand="0" w:noVBand="0" w:val="0000"/>
        </w:tblPrEx>
        <w:trPr>
          <w:trHeight w:val="39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農業経営を行うためにデータを活用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効率的かつ効果的な農業経営を行うためにデータ（財務、市況、生産履歴、生育状況、気象状況、栽培管理などの情報）を活用することをいい、次のいずれかの場合をいう。</w:t>
            </w:r>
          </w:p>
        </w:tc>
      </w:tr>
      <w:tr>
        <w:tblPrEx>
          <w:tblCellMar>
            <w:top w:w="57" w:type="dxa"/>
            <w:bottom w:w="57" w:type="dxa"/>
          </w:tblCellMar>
          <w:tblLook w:firstRow="0" w:lastRow="0" w:firstColumn="0" w:lastColumn="0" w:noHBand="0" w:noVBand="0" w:val="0000"/>
        </w:tblPrEx>
        <w:trPr>
          <w:trHeight w:val="141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データを取得して活用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気象、市況、土壌状態、地図、栽培技術などの経営外部データを取得するツールとしてスマートフォン、パソコン、タブレット、携帯電話、新聞などを用いて、取得したデータを効率的かつ効果的な農業経営を行うために活用することをいう。</w:t>
            </w:r>
          </w:p>
        </w:tc>
      </w:tr>
      <w:tr>
        <w:tblPrEx>
          <w:tblCellMar>
            <w:top w:w="57" w:type="dxa"/>
            <w:bottom w:w="57" w:type="dxa"/>
          </w:tblCellMar>
          <w:tblLook w:firstRow="0" w:lastRow="0" w:firstColumn="0" w:lastColumn="0" w:noHBand="0" w:noVBand="0" w:val="0000"/>
        </w:tblPrEx>
        <w:trPr>
          <w:trHeight w:val="150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データを取得・記録して活用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データを取得して活用」で取得した経営外部データに加え、財務、生産履歴、栽培管理、ほ場マップ情報、土壌診断情報などの経営内部データをスマートフォン、パソコン、タブレット、携帯電話などを用いて、取得したものをこれに記録して効率的かつ効果的な農業経営を行うために活用することをいう。</w:t>
            </w:r>
          </w:p>
        </w:tc>
      </w:tr>
      <w:tr>
        <w:tblPrEx>
          <w:tblCellMar>
            <w:top w:w="57" w:type="dxa"/>
            <w:bottom w:w="57" w:type="dxa"/>
          </w:tblCellMar>
          <w:tblLook w:firstRow="0" w:lastRow="0" w:firstColumn="0" w:lastColumn="0" w:noHBand="0" w:noVBand="0" w:val="0000"/>
        </w:tblPrEx>
        <w:trPr>
          <w:trHeight w:val="255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データを取得・分析して活用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「データを取得して活用」や「データを取得・記録して活用」で把握したデータに加え、センサー、ドローン、カメラなどを用いて、気温、日</w:t>
            </w:r>
            <w:r>
              <w:rPr>
                <w:rFonts w:hint="default" w:ascii="ＭＳ 明朝" w:hAnsi="ＭＳ 明朝"/>
                <w:color w:val="auto"/>
              </w:rPr>
              <w:t>照量、土壌水分・養分量、</w:t>
            </w:r>
            <w:r>
              <w:rPr>
                <w:rFonts w:hint="default"/>
                <w:color w:val="auto"/>
              </w:rPr>
              <w:t>CO₂</w:t>
            </w:r>
            <w:r>
              <w:rPr>
                <w:rFonts w:hint="default" w:ascii="ＭＳ 明朝" w:hAnsi="ＭＳ 明朝"/>
                <w:color w:val="auto"/>
              </w:rPr>
              <w:t>濃度などのほ場環境情報や、作物の大きさ、開花日、病気の発生などの生育状況といった経営内部データを取得し、専用のアプリ、パソコンのソフトなどで分析（アプリ・ソフトの種類、分析機能の水準などは問わない。）して効率的かつ効果的な農業</w:t>
            </w:r>
            <w:r>
              <w:rPr>
                <w:rFonts w:hint="eastAsia"/>
                <w:color w:val="auto"/>
              </w:rPr>
              <w:t>経営を行うために活用することをいう。</w:t>
            </w:r>
          </w:p>
        </w:tc>
      </w:tr>
    </w:tbl>
    <w:p>
      <w:pPr>
        <w:pStyle w:val="0"/>
        <w:rPr>
          <w:rFonts w:hint="default"/>
        </w:rPr>
      </w:pPr>
    </w:p>
    <w:p>
      <w:pPr>
        <w:pStyle w:val="3"/>
        <w:ind w:left="110"/>
        <w:rPr>
          <w:rFonts w:hint="default"/>
        </w:rPr>
      </w:pPr>
      <w:r>
        <w:rPr>
          <w:rFonts w:hint="default"/>
        </w:rPr>
        <w:t>(</w:t>
      </w:r>
      <w:r>
        <w:rPr>
          <w:rFonts w:hint="eastAsia"/>
        </w:rPr>
        <w:t>5</w:t>
      </w:r>
      <w:r>
        <w:rPr>
          <w:rFonts w:hint="default"/>
        </w:rPr>
        <w:t>)</w:t>
      </w:r>
      <w:r>
        <w:rPr>
          <w:rFonts w:hint="eastAsia"/>
        </w:rPr>
        <w:t>　個人</w:t>
      </w:r>
      <w:r>
        <w:rPr>
          <w:rFonts w:hint="default"/>
        </w:rPr>
        <w:t>経営</w:t>
      </w:r>
      <w:r>
        <w:rPr>
          <w:rFonts w:hint="eastAsia"/>
        </w:rPr>
        <w:t>体</w:t>
      </w:r>
    </w:p>
    <w:p>
      <w:pPr>
        <w:pStyle w:val="4"/>
        <w:ind w:left="440"/>
        <w:rPr>
          <w:rFonts w:hint="default"/>
        </w:rPr>
      </w:pPr>
      <w:r>
        <w:rPr>
          <w:rFonts w:hint="eastAsia"/>
        </w:rPr>
        <w:t>ア　主副業別</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主業経営体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農業所得が主（世帯所得の</w:t>
            </w:r>
            <w:r>
              <w:rPr>
                <w:rFonts w:hint="default"/>
                <w:color w:val="auto"/>
              </w:rPr>
              <w:t>50</w:t>
            </w:r>
            <w:r>
              <w:rPr>
                <w:rFonts w:hint="default" w:ascii="ＭＳ 明朝" w:hAnsi="ＭＳ 明朝"/>
                <w:color w:val="auto"/>
              </w:rPr>
              <w:t>％以上が農業所得）で、調査期日前１年間に自営農業に</w:t>
            </w:r>
            <w:r>
              <w:rPr>
                <w:rFonts w:hint="default"/>
                <w:color w:val="auto"/>
              </w:rPr>
              <w:t>60</w:t>
            </w:r>
            <w:r>
              <w:rPr>
                <w:rFonts w:hint="default" w:ascii="ＭＳ 明朝" w:hAnsi="ＭＳ 明朝"/>
                <w:color w:val="auto"/>
              </w:rPr>
              <w:t>日以上従事している</w:t>
            </w:r>
            <w:r>
              <w:rPr>
                <w:rFonts w:hint="default"/>
                <w:color w:val="auto"/>
              </w:rPr>
              <w:t>65</w:t>
            </w:r>
            <w:r>
              <w:rPr>
                <w:rFonts w:hint="default" w:ascii="ＭＳ 明朝" w:hAnsi="ＭＳ 明朝"/>
                <w:color w:val="auto"/>
              </w:rPr>
              <w:t>歳未満の世帯員がいる</w:t>
            </w:r>
            <w:r>
              <w:rPr>
                <w:rFonts w:hint="eastAsia"/>
                <w:color w:val="auto"/>
              </w:rPr>
              <w:t>個人経営体</w:t>
            </w:r>
            <w:r>
              <w:rPr>
                <w:rFonts w:hint="default" w:ascii="ＭＳ 明朝" w:hAnsi="ＭＳ 明朝"/>
                <w:color w:val="auto"/>
              </w:rPr>
              <w:t>をいう。</w:t>
            </w:r>
          </w:p>
        </w:tc>
      </w:tr>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準主業経営体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農外所得が主（世帯所得の</w:t>
            </w:r>
            <w:r>
              <w:rPr>
                <w:rFonts w:hint="default"/>
                <w:color w:val="auto"/>
              </w:rPr>
              <w:t>50</w:t>
            </w:r>
            <w:r>
              <w:rPr>
                <w:rFonts w:hint="default" w:ascii="ＭＳ 明朝" w:hAnsi="ＭＳ 明朝"/>
                <w:color w:val="auto"/>
              </w:rPr>
              <w:t>％未満が農業所得）で、調査期日前１年間に自営農業に</w:t>
            </w:r>
            <w:r>
              <w:rPr>
                <w:rFonts w:hint="default"/>
                <w:color w:val="auto"/>
              </w:rPr>
              <w:t>60</w:t>
            </w:r>
            <w:r>
              <w:rPr>
                <w:rFonts w:hint="default" w:ascii="ＭＳ 明朝" w:hAnsi="ＭＳ 明朝"/>
                <w:color w:val="auto"/>
              </w:rPr>
              <w:t>日以上従事している</w:t>
            </w:r>
            <w:r>
              <w:rPr>
                <w:rFonts w:hint="default"/>
                <w:color w:val="auto"/>
              </w:rPr>
              <w:t>65</w:t>
            </w:r>
            <w:r>
              <w:rPr>
                <w:rFonts w:hint="default" w:ascii="ＭＳ 明朝" w:hAnsi="ＭＳ 明朝"/>
                <w:color w:val="auto"/>
              </w:rPr>
              <w:t>歳未満の世帯員がいる</w:t>
            </w:r>
            <w:r>
              <w:rPr>
                <w:rFonts w:hint="eastAsia"/>
                <w:color w:val="auto"/>
              </w:rPr>
              <w:t>個人経営体</w:t>
            </w:r>
            <w:r>
              <w:rPr>
                <w:rFonts w:hint="default" w:ascii="ＭＳ 明朝" w:hAnsi="ＭＳ 明朝"/>
                <w:color w:val="auto"/>
              </w:rPr>
              <w:t>をいう。</w:t>
            </w:r>
          </w:p>
        </w:tc>
      </w:tr>
      <w:tr>
        <w:trPr>
          <w:trHeight w:val="72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副業的経営体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調査期日前１年間に自営農業に</w:t>
            </w:r>
            <w:r>
              <w:rPr>
                <w:rFonts w:hint="default"/>
                <w:color w:val="auto"/>
              </w:rPr>
              <w:t>60</w:t>
            </w:r>
            <w:r>
              <w:rPr>
                <w:rFonts w:hint="default" w:ascii="ＭＳ 明朝" w:hAnsi="ＭＳ 明朝"/>
                <w:color w:val="auto"/>
              </w:rPr>
              <w:t>日以上従事している</w:t>
            </w:r>
            <w:r>
              <w:rPr>
                <w:rFonts w:hint="default"/>
                <w:color w:val="auto"/>
              </w:rPr>
              <w:t>65</w:t>
            </w:r>
            <w:r>
              <w:rPr>
                <w:rFonts w:hint="default" w:ascii="ＭＳ 明朝" w:hAnsi="ＭＳ 明朝"/>
                <w:color w:val="auto"/>
              </w:rPr>
              <w:t>歳未満の世帯員がいない</w:t>
            </w:r>
            <w:r>
              <w:rPr>
                <w:rFonts w:hint="eastAsia"/>
                <w:color w:val="auto"/>
              </w:rPr>
              <w:t>個人経営体</w:t>
            </w:r>
            <w:r>
              <w:rPr>
                <w:rFonts w:hint="default" w:ascii="ＭＳ 明朝" w:hAnsi="ＭＳ 明朝"/>
                <w:color w:val="auto"/>
              </w:rPr>
              <w:t>をいう。</w:t>
            </w:r>
          </w:p>
        </w:tc>
      </w:tr>
      <w:tr>
        <w:trPr>
          <w:trHeight w:val="37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農業専従者</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調査期日前１年間に自営農業に</w:t>
            </w:r>
            <w:r>
              <w:rPr>
                <w:rFonts w:hint="eastAsia"/>
                <w:color w:val="auto"/>
              </w:rPr>
              <w:t>150</w:t>
            </w:r>
            <w:r>
              <w:rPr>
                <w:rFonts w:hint="eastAsia"/>
                <w:color w:val="auto"/>
              </w:rPr>
              <w:t>日以上従事した世帯員をいう。</w:t>
            </w:r>
          </w:p>
        </w:tc>
      </w:tr>
    </w:tbl>
    <w:p>
      <w:pPr>
        <w:pStyle w:val="0"/>
        <w:rPr>
          <w:rFonts w:hint="default"/>
        </w:rPr>
      </w:pPr>
    </w:p>
    <w:p>
      <w:pPr>
        <w:pStyle w:val="4"/>
        <w:ind w:left="440"/>
        <w:rPr>
          <w:rFonts w:hint="default"/>
        </w:rPr>
      </w:pPr>
      <w:r>
        <w:rPr>
          <w:rFonts w:hint="eastAsia"/>
        </w:rPr>
        <w:t>イ　農業従事者等</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2" w:type="dxa"/>
          <w:bottom w:w="28" w:type="dxa"/>
          <w:right w:w="52" w:type="dxa"/>
        </w:tblCellMar>
        <w:tblLook w:firstRow="0" w:lastRow="0" w:firstColumn="0" w:lastColumn="0" w:noHBand="0" w:noVBand="0" w:val="0000"/>
      </w:tblPr>
      <w:tblGrid>
        <w:gridCol w:w="1814"/>
        <w:gridCol w:w="7372"/>
      </w:tblGrid>
      <w:tr>
        <w:trPr>
          <w:trHeight w:val="7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農業従事者</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15</w:t>
            </w:r>
            <w:r>
              <w:rPr>
                <w:rFonts w:hint="eastAsia"/>
                <w:color w:val="auto"/>
              </w:rPr>
              <w:t>歳以上の世帯員のうち、調査期日前１年間に自営農業に従事した者をいう。</w:t>
            </w:r>
          </w:p>
        </w:tc>
      </w:tr>
      <w:tr>
        <w:trPr>
          <w:trHeight w:val="7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基幹的農業従事者</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15</w:t>
            </w:r>
            <w:r>
              <w:rPr>
                <w:rFonts w:hint="eastAsia"/>
                <w:color w:val="auto"/>
              </w:rPr>
              <w:t>歳以上の世帯員のうち、ふだん仕事として主に自営農業に従事している者をいう。</w:t>
            </w:r>
          </w:p>
        </w:tc>
      </w:tr>
    </w:tbl>
    <w:p>
      <w:pPr>
        <w:pStyle w:val="0"/>
        <w:rPr>
          <w:rFonts w:hint="default" w:eastAsia="ＭＳ Ｐゴシック"/>
          <w:color w:val="auto"/>
        </w:rPr>
      </w:pPr>
    </w:p>
    <w:p>
      <w:pPr>
        <w:pStyle w:val="0"/>
        <w:rPr>
          <w:rFonts w:hint="default" w:eastAsia="ＭＳ Ｐゴシック"/>
          <w:color w:val="auto"/>
        </w:rPr>
      </w:pPr>
    </w:p>
    <w:p>
      <w:pPr>
        <w:pStyle w:val="3"/>
        <w:ind w:left="110"/>
        <w:rPr>
          <w:rFonts w:hint="default"/>
        </w:rPr>
      </w:pPr>
      <w:r>
        <w:rPr>
          <w:rFonts w:hint="eastAsia"/>
        </w:rPr>
        <w:t>(6</w:t>
      </w:r>
      <w:r>
        <w:rPr>
          <w:rFonts w:hint="default"/>
        </w:rPr>
        <w:t>)</w:t>
      </w:r>
      <w:r>
        <w:rPr>
          <w:rFonts w:hint="eastAsia"/>
        </w:rPr>
        <w:t>　林業経営体</w:t>
      </w:r>
    </w:p>
    <w:p>
      <w:pPr>
        <w:pStyle w:val="4"/>
        <w:ind w:left="440"/>
        <w:rPr>
          <w:rFonts w:hint="default"/>
        </w:rPr>
      </w:pPr>
      <w:r>
        <w:rPr>
          <w:rFonts w:hint="eastAsia"/>
        </w:rPr>
        <w:t>ア　保有山林の状況</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2" w:type="dxa"/>
          <w:bottom w:w="28" w:type="dxa"/>
          <w:right w:w="52" w:type="dxa"/>
        </w:tblCellMar>
        <w:tblLook w:firstRow="0" w:lastRow="0" w:firstColumn="0" w:lastColumn="0" w:noHBand="0" w:noVBand="0" w:val="0000"/>
      </w:tblPr>
      <w:tblGrid>
        <w:gridCol w:w="1814"/>
        <w:gridCol w:w="7372"/>
      </w:tblGrid>
      <w:tr>
        <w:trPr>
          <w:trHeight w:val="376"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保有山林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自らが林業経営に利用できる（している）山林をいう。</w:t>
            </w:r>
          </w:p>
        </w:tc>
      </w:tr>
    </w:tbl>
    <w:p>
      <w:pPr>
        <w:pStyle w:val="0"/>
        <w:rPr>
          <w:rFonts w:hint="default"/>
        </w:rPr>
      </w:pPr>
    </w:p>
    <w:p>
      <w:pPr>
        <w:pStyle w:val="4"/>
        <w:ind w:left="440"/>
        <w:rPr>
          <w:rFonts w:hint="default"/>
        </w:rPr>
      </w:pPr>
      <w:r>
        <w:rPr>
          <w:rFonts w:hint="eastAsia"/>
        </w:rPr>
        <w:t>イ　素材生産</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93"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素材生産量</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素材とは丸太のことをさし、原木ともいう。</w:t>
            </w:r>
          </w:p>
          <w:p>
            <w:pPr>
              <w:pStyle w:val="0"/>
              <w:suppressAutoHyphens w:val="1"/>
              <w:autoSpaceDE w:val="0"/>
              <w:autoSpaceDN w:val="0"/>
              <w:spacing w:line="342" w:lineRule="atLeast"/>
              <w:ind w:firstLine="206"/>
              <w:jc w:val="left"/>
              <w:rPr>
                <w:rFonts w:hint="default"/>
                <w:color w:val="auto"/>
              </w:rPr>
            </w:pPr>
            <w:r>
              <w:rPr>
                <w:rFonts w:hint="eastAsia"/>
                <w:color w:val="auto"/>
              </w:rPr>
              <w:t>丸太の体積を表し、一般的には立方メートル</w:t>
            </w:r>
            <w:r>
              <w:rPr>
                <w:rFonts w:hint="eastAsia"/>
                <w:color w:val="auto"/>
              </w:rPr>
              <w:t>(</w:t>
            </w:r>
            <w:r>
              <w:rPr>
                <w:rFonts w:hint="eastAsia"/>
                <w:color w:val="auto"/>
              </w:rPr>
              <w:t>ｍ</w:t>
            </w:r>
            <w:r>
              <w:rPr>
                <w:rFonts w:hint="default"/>
                <w:color w:val="auto"/>
                <w:vertAlign w:val="superscript"/>
              </w:rPr>
              <w:t>3</w:t>
            </w:r>
            <w:r>
              <w:rPr>
                <w:rFonts w:hint="eastAsia" w:ascii="ＭＳ 明朝" w:hAnsi="ＭＳ 明朝"/>
                <w:color w:val="auto"/>
              </w:rPr>
              <w:t>)</w:t>
            </w:r>
            <w:r>
              <w:rPr>
                <w:rFonts w:hint="default" w:ascii="ＭＳ 明朝" w:hAnsi="ＭＳ 明朝"/>
                <w:color w:val="auto"/>
              </w:rPr>
              <w:t>の単位で表示する。</w:t>
            </w:r>
          </w:p>
          <w:p>
            <w:pPr>
              <w:pStyle w:val="0"/>
              <w:suppressAutoHyphens w:val="1"/>
              <w:autoSpaceDE w:val="0"/>
              <w:autoSpaceDN w:val="0"/>
              <w:spacing w:line="342" w:lineRule="atLeast"/>
              <w:ind w:firstLine="206"/>
              <w:jc w:val="left"/>
              <w:rPr>
                <w:rFonts w:hint="default"/>
                <w:color w:val="auto"/>
              </w:rPr>
            </w:pPr>
            <w:r>
              <w:rPr>
                <w:rFonts w:hint="eastAsia"/>
                <w:color w:val="auto"/>
              </w:rPr>
              <w:t>なお、立木買いによる素材生産量を含む。</w:t>
            </w:r>
          </w:p>
        </w:tc>
      </w:tr>
      <w:tr>
        <w:trPr>
          <w:trHeight w:val="7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立木買いによる</w:t>
            </w:r>
            <w:r>
              <w:rPr>
                <w:rFonts w:hint="default" w:ascii="ＭＳ 明朝" w:hAnsi="ＭＳ 明朝"/>
                <w:color w:val="auto"/>
              </w:rPr>
              <w:t>素材生産</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立木を購入し、伐木して素材生産することをいう。</w:t>
            </w:r>
          </w:p>
        </w:tc>
      </w:tr>
    </w:tbl>
    <w:p>
      <w:pPr>
        <w:pStyle w:val="0"/>
        <w:rPr>
          <w:rFonts w:hint="default"/>
          <w:highlight w:val="yellow"/>
        </w:rPr>
      </w:pPr>
    </w:p>
    <w:p>
      <w:pPr>
        <w:pStyle w:val="4"/>
        <w:ind w:left="440"/>
        <w:rPr>
          <w:rFonts w:hint="default"/>
          <w:sz w:val="24"/>
        </w:rPr>
      </w:pPr>
      <w:r>
        <w:rPr>
          <w:rFonts w:hint="eastAsia"/>
        </w:rPr>
        <w:t>ウ　林業作業</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51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林業作業の受託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他人の林業作業（立木買いによる素材生産を含む。）を請け負うことをいう。</w:t>
            </w:r>
          </w:p>
        </w:tc>
      </w:tr>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植林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山林とするために、伐採跡地や山林でなかった土地に、苗木の植付け、種子の播付け、挿し木などをすることをいう。</w:t>
            </w:r>
          </w:p>
        </w:tc>
      </w:tr>
      <w:tr>
        <w:trPr>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下刈りなど</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林木の健全な育成のために行う下刈り、除伐、つる切り、枝打ち、雪起こしなどの植林から間伐までの保育作業をいう。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なお、作業を年２回以上同一区画で行った場合あるいは同一区画で別々の作業を行った場合の面積は、実面積とした。</w:t>
            </w:r>
          </w:p>
        </w:tc>
      </w:tr>
      <w:tr>
        <w:trPr>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間伐</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林木を健全に成長させるため、立木密度を調整し、劣勢木、不用木など林木の一部を伐採することをいう。</w:t>
            </w:r>
          </w:p>
          <w:p>
            <w:pPr>
              <w:pStyle w:val="0"/>
              <w:suppressAutoHyphens w:val="1"/>
              <w:autoSpaceDE w:val="0"/>
              <w:autoSpaceDN w:val="0"/>
              <w:spacing w:line="342" w:lineRule="atLeast"/>
              <w:ind w:firstLine="206"/>
              <w:jc w:val="left"/>
              <w:rPr>
                <w:rFonts w:hint="default"/>
                <w:color w:val="auto"/>
              </w:rPr>
            </w:pPr>
            <w:r>
              <w:rPr>
                <w:rFonts w:hint="eastAsia"/>
                <w:color w:val="auto"/>
              </w:rPr>
              <w:t>このうち、間伐材を林外に運搬し他に利用した場合は利用間伐、間伐材を林内に放置したままにした場合は切捨間伐とした。</w:t>
            </w:r>
          </w:p>
        </w:tc>
      </w:tr>
      <w:tr>
        <w:trPr>
          <w:trHeight w:val="187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主伐</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一定の林齢に生育した立木を、用材等で販売するために伐採（被害木の伐採は含まない。）することをいう。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なお、主伐には、一度に全面積を伐採する皆伐と、区画内の立木を何回かに分けて抜き切りする択伐があるが、択伐の場合であっても、面積は、伐採した全体の区画とした。</w:t>
            </w:r>
          </w:p>
        </w:tc>
      </w:tr>
    </w:tbl>
    <w:p>
      <w:pPr>
        <w:pStyle w:val="0"/>
        <w:rPr>
          <w:rFonts w:hint="default"/>
        </w:rPr>
      </w:pPr>
    </w:p>
    <w:p>
      <w:pPr>
        <w:pStyle w:val="3"/>
        <w:ind w:left="110"/>
        <w:rPr>
          <w:rFonts w:hint="default"/>
        </w:rPr>
      </w:pPr>
      <w:r>
        <w:rPr>
          <w:rFonts w:hint="default"/>
        </w:rPr>
        <w:t>(</w:t>
      </w:r>
      <w:r>
        <w:rPr>
          <w:rFonts w:hint="eastAsia"/>
        </w:rPr>
        <w:t>7</w:t>
      </w:r>
      <w:r>
        <w:rPr>
          <w:rFonts w:hint="default"/>
        </w:rPr>
        <w:t>)</w:t>
      </w:r>
      <w:r>
        <w:rPr>
          <w:rFonts w:hint="eastAsia"/>
        </w:rPr>
        <w:t>　総農家等</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175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農家</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調査期日</w:t>
            </w:r>
            <w:r>
              <w:rPr>
                <w:rFonts w:hint="default" w:ascii="ＭＳ 明朝" w:hAnsi="ＭＳ 明朝"/>
                <w:color w:val="auto"/>
              </w:rPr>
              <w:t>現在で、経営耕地面積が</w:t>
            </w:r>
            <w:r>
              <w:rPr>
                <w:rFonts w:hint="default"/>
                <w:color w:val="auto"/>
              </w:rPr>
              <w:t>10</w:t>
            </w:r>
            <w:r>
              <w:rPr>
                <w:rFonts w:hint="eastAsia"/>
                <w:color w:val="auto"/>
              </w:rPr>
              <w:t>ａ</w:t>
            </w:r>
            <w:r>
              <w:rPr>
                <w:rFonts w:hint="default" w:ascii="ＭＳ 明朝" w:hAnsi="ＭＳ 明朝"/>
                <w:color w:val="auto"/>
              </w:rPr>
              <w:t>以上の農業を営む世帯</w:t>
            </w:r>
            <w:r>
              <w:rPr>
                <w:rFonts w:hint="eastAsia"/>
                <w:color w:val="auto"/>
              </w:rPr>
              <w:t>又</w:t>
            </w:r>
            <w:r>
              <w:rPr>
                <w:rFonts w:hint="default" w:ascii="ＭＳ 明朝" w:hAnsi="ＭＳ 明朝"/>
                <w:color w:val="auto"/>
              </w:rPr>
              <w:t>は経営耕地面積が</w:t>
            </w:r>
            <w:r>
              <w:rPr>
                <w:rFonts w:hint="default"/>
                <w:color w:val="auto"/>
              </w:rPr>
              <w:t>10</w:t>
            </w:r>
            <w:r>
              <w:rPr>
                <w:rFonts w:hint="eastAsia"/>
                <w:color w:val="auto"/>
              </w:rPr>
              <w:t>ａ</w:t>
            </w:r>
            <w:r>
              <w:rPr>
                <w:rFonts w:hint="default" w:ascii="ＭＳ 明朝" w:hAnsi="ＭＳ 明朝"/>
                <w:color w:val="auto"/>
              </w:rPr>
              <w:t>未満であっても、調査期日前</w:t>
            </w:r>
            <w:r>
              <w:rPr>
                <w:rFonts w:hint="eastAsia"/>
                <w:color w:val="auto"/>
              </w:rPr>
              <w:t>１</w:t>
            </w:r>
            <w:r>
              <w:rPr>
                <w:rFonts w:hint="default" w:ascii="ＭＳ 明朝" w:hAnsi="ＭＳ 明朝"/>
                <w:color w:val="auto"/>
              </w:rPr>
              <w:t>年間における農産物販売金額が</w:t>
            </w:r>
            <w:r>
              <w:rPr>
                <w:rFonts w:hint="default"/>
                <w:color w:val="auto"/>
              </w:rPr>
              <w:t>15</w:t>
            </w:r>
            <w:r>
              <w:rPr>
                <w:rFonts w:hint="default" w:ascii="ＭＳ 明朝" w:hAnsi="ＭＳ 明朝"/>
                <w:color w:val="auto"/>
              </w:rPr>
              <w:t>万円以上あった世帯をい</w:t>
            </w:r>
            <w:r>
              <w:rPr>
                <w:rFonts w:hint="eastAsia"/>
                <w:color w:val="auto"/>
              </w:rPr>
              <w:t>う。</w:t>
            </w:r>
          </w:p>
          <w:p>
            <w:pPr>
              <w:pStyle w:val="0"/>
              <w:suppressAutoHyphens w:val="1"/>
              <w:autoSpaceDE w:val="0"/>
              <w:autoSpaceDN w:val="0"/>
              <w:spacing w:line="342" w:lineRule="atLeast"/>
              <w:ind w:firstLine="206"/>
              <w:jc w:val="left"/>
              <w:rPr>
                <w:rFonts w:hint="default"/>
                <w:color w:val="auto"/>
              </w:rPr>
            </w:pPr>
            <w:r>
              <w:rPr>
                <w:rFonts w:hint="eastAsia"/>
                <w:color w:val="auto"/>
              </w:rPr>
              <w:t>なお、「農業を営む」とは、営利又は自家消費のために耕種、養畜、養蚕、又は自家生産の農産物を原料とする加工を行うことをいう。</w:t>
            </w:r>
          </w:p>
        </w:tc>
      </w:tr>
      <w:tr>
        <w:trPr>
          <w:trHeight w:val="478"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販売農家</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経営耕地面積が</w:t>
            </w:r>
            <w:r>
              <w:rPr>
                <w:rFonts w:hint="default"/>
                <w:color w:val="auto"/>
              </w:rPr>
              <w:t>30</w:t>
            </w:r>
            <w:r>
              <w:rPr>
                <w:rFonts w:hint="eastAsia"/>
                <w:color w:val="auto"/>
              </w:rPr>
              <w:t>ａ</w:t>
            </w:r>
            <w:r>
              <w:rPr>
                <w:rFonts w:hint="default" w:ascii="Times New Roman" w:hAnsi="Times New Roman"/>
                <w:color w:val="auto"/>
              </w:rPr>
              <w:t>以上</w:t>
            </w:r>
            <w:r>
              <w:rPr>
                <w:rFonts w:hint="eastAsia"/>
                <w:color w:val="auto"/>
              </w:rPr>
              <w:t>又</w:t>
            </w:r>
            <w:r>
              <w:rPr>
                <w:rFonts w:hint="default" w:ascii="Times New Roman" w:hAnsi="Times New Roman"/>
                <w:color w:val="auto"/>
              </w:rPr>
              <w:t>は調査期日前</w:t>
            </w:r>
            <w:r>
              <w:rPr>
                <w:rFonts w:hint="eastAsia"/>
                <w:color w:val="auto"/>
              </w:rPr>
              <w:t>１</w:t>
            </w:r>
            <w:r>
              <w:rPr>
                <w:rFonts w:hint="default" w:ascii="Times New Roman" w:hAnsi="Times New Roman"/>
                <w:color w:val="auto"/>
              </w:rPr>
              <w:t>年間における農産物販売金額が</w:t>
            </w:r>
            <w:r>
              <w:rPr>
                <w:rFonts w:hint="default"/>
                <w:color w:val="auto"/>
              </w:rPr>
              <w:t>50</w:t>
            </w:r>
            <w:r>
              <w:rPr>
                <w:rFonts w:hint="default" w:ascii="Times New Roman" w:hAnsi="Times New Roman"/>
                <w:color w:val="auto"/>
              </w:rPr>
              <w:t>万円以上の農家をい</w:t>
            </w:r>
            <w:r>
              <w:rPr>
                <w:rFonts w:hint="eastAsia"/>
                <w:color w:val="auto"/>
              </w:rPr>
              <w:t>う。</w:t>
            </w:r>
          </w:p>
        </w:tc>
      </w:tr>
      <w:tr>
        <w:trPr>
          <w:trHeight w:val="33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自給的農家</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経営耕地面積が</w:t>
            </w:r>
            <w:r>
              <w:rPr>
                <w:rFonts w:hint="default"/>
                <w:color w:val="auto"/>
              </w:rPr>
              <w:t>30</w:t>
            </w:r>
            <w:r>
              <w:rPr>
                <w:rFonts w:hint="default" w:ascii="Times New Roman" w:hAnsi="Times New Roman"/>
                <w:color w:val="auto"/>
              </w:rPr>
              <w:t>ａ未満かつ調査期日前１年間における農産物販売金額が</w:t>
            </w:r>
            <w:r>
              <w:rPr>
                <w:rFonts w:hint="default"/>
                <w:color w:val="auto"/>
              </w:rPr>
              <w:t>50</w:t>
            </w:r>
            <w:r>
              <w:rPr>
                <w:rFonts w:hint="default" w:ascii="Times New Roman" w:hAnsi="Times New Roman"/>
                <w:color w:val="auto"/>
              </w:rPr>
              <w:t>万円未満の農家をいう。</w:t>
            </w:r>
          </w:p>
        </w:tc>
      </w:tr>
      <w:tr>
        <w:trPr>
          <w:trHeight w:val="33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農作業受託のみを行う経営体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農業経営体のうち、農家等から委託を受けて農作業を行う経営体のうち、調査期日現在で</w:t>
            </w:r>
            <w:r>
              <w:rPr>
                <w:rFonts w:hint="default"/>
                <w:color w:val="auto"/>
              </w:rPr>
              <w:t>10</w:t>
            </w:r>
            <w:r>
              <w:rPr>
                <w:rFonts w:hint="default" w:ascii="Times New Roman" w:hAnsi="Times New Roman"/>
                <w:color w:val="auto"/>
              </w:rPr>
              <w:t>ａ以上の経営耕地を有さず、かつ、調査期日前１年間における農産物販売金額が</w:t>
            </w:r>
            <w:r>
              <w:rPr>
                <w:rFonts w:hint="default"/>
                <w:color w:val="auto"/>
              </w:rPr>
              <w:t>15</w:t>
            </w:r>
            <w:r>
              <w:rPr>
                <w:rFonts w:hint="default" w:ascii="Times New Roman" w:hAnsi="Times New Roman"/>
                <w:color w:val="auto"/>
              </w:rPr>
              <w:t>万円未満の経営体をいう。</w:t>
            </w:r>
          </w:p>
        </w:tc>
      </w:tr>
      <w:tr>
        <w:trPr>
          <w:trHeight w:val="486"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農業生産を行う経営体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農業経営体のうち、上記以外の</w:t>
            </w:r>
            <w:r>
              <w:rPr>
                <w:rFonts w:hint="default" w:ascii="Times New Roman" w:hAnsi="Times New Roman"/>
                <w:color w:val="auto"/>
              </w:rPr>
              <w:t>経営体をいう。</w:t>
            </w:r>
          </w:p>
        </w:tc>
      </w:tr>
    </w:tbl>
    <w:p>
      <w:pPr>
        <w:pStyle w:val="0"/>
        <w:rPr>
          <w:rFonts w:hint="default"/>
        </w:rPr>
      </w:pPr>
    </w:p>
    <w:p>
      <w:pPr>
        <w:pStyle w:val="0"/>
        <w:rPr>
          <w:rFonts w:hint="default"/>
        </w:rPr>
      </w:pPr>
    </w:p>
    <w:p>
      <w:pPr>
        <w:pStyle w:val="2"/>
        <w:rPr>
          <w:rFonts w:hint="default"/>
        </w:rPr>
      </w:pPr>
      <w:r>
        <w:rPr>
          <w:rFonts w:hint="eastAsia"/>
        </w:rPr>
        <w:t>10</w:t>
      </w:r>
      <w:r>
        <w:rPr>
          <w:rFonts w:hint="eastAsia"/>
        </w:rPr>
        <w:t>　利用上の注意</w:t>
      </w:r>
    </w:p>
    <w:p>
      <w:pPr>
        <w:pStyle w:val="0"/>
        <w:ind w:left="424" w:leftChars="54" w:hanging="305" w:hangingChars="127"/>
        <w:rPr>
          <w:rFonts w:hint="default"/>
          <w:sz w:val="24"/>
        </w:rPr>
      </w:pPr>
      <w:r>
        <w:rPr>
          <w:rFonts w:hint="eastAsia"/>
          <w:sz w:val="24"/>
        </w:rPr>
        <w:t>(</w:t>
      </w:r>
      <w:r>
        <w:rPr>
          <w:rFonts w:hint="default"/>
          <w:sz w:val="24"/>
        </w:rPr>
        <w:t>1)</w:t>
      </w:r>
      <w:r>
        <w:rPr>
          <w:rFonts w:hint="eastAsia"/>
          <w:sz w:val="24"/>
        </w:rPr>
        <w:t>　統計表の数値については、集計値の原数を四捨五入しており、合計値と内訳の計が一致しない場合がある。</w:t>
      </w:r>
    </w:p>
    <w:p>
      <w:pPr>
        <w:pStyle w:val="0"/>
        <w:ind w:firstLine="120" w:firstLineChars="50"/>
        <w:rPr>
          <w:rFonts w:hint="default"/>
          <w:sz w:val="24"/>
        </w:rPr>
      </w:pPr>
      <w:r>
        <w:rPr>
          <w:rFonts w:hint="eastAsia"/>
          <w:sz w:val="24"/>
        </w:rPr>
        <w:t>(</w:t>
      </w:r>
      <w:r>
        <w:rPr>
          <w:rFonts w:hint="default"/>
          <w:sz w:val="24"/>
        </w:rPr>
        <w:t>2)</w:t>
      </w:r>
      <w:r>
        <w:rPr>
          <w:rFonts w:hint="eastAsia"/>
          <w:sz w:val="24"/>
        </w:rPr>
        <w:t>　表中に用いた記号は、次のとおりである。</w:t>
      </w:r>
    </w:p>
    <w:p>
      <w:pPr>
        <w:pStyle w:val="0"/>
        <w:rPr>
          <w:rFonts w:hint="default"/>
          <w:sz w:val="24"/>
        </w:rPr>
      </w:pPr>
      <w:r>
        <w:rPr>
          <w:rFonts w:hint="eastAsia"/>
          <w:sz w:val="24"/>
        </w:rPr>
        <w:t>　　　「－」：事実のないもの</w:t>
      </w:r>
    </w:p>
    <w:p>
      <w:pPr>
        <w:pStyle w:val="0"/>
        <w:rPr>
          <w:rFonts w:hint="eastAsia" w:ascii="ＭＳ 明朝" w:hAnsi="ＭＳ 明朝"/>
          <w:kern w:val="0"/>
          <w:sz w:val="22"/>
        </w:rPr>
      </w:pPr>
      <w:r>
        <w:rPr>
          <w:rFonts w:hint="eastAsia"/>
          <w:sz w:val="24"/>
        </w:rPr>
        <w:t>　　　「Ｘ」：</w:t>
      </w:r>
      <w:r>
        <w:rPr>
          <w:rFonts w:hint="eastAsia" w:ascii="ＭＳ 明朝" w:hAnsi="ＭＳ 明朝"/>
          <w:kern w:val="0"/>
          <w:sz w:val="22"/>
        </w:rPr>
        <w:t>経営体等の特定を防止する目的で付したもの</w:t>
      </w:r>
    </w:p>
    <w:p>
      <w:pPr>
        <w:pStyle w:val="0"/>
        <w:rPr>
          <w:rFonts w:hint="default"/>
          <w:sz w:val="24"/>
        </w:rPr>
      </w:pPr>
    </w:p>
    <w:p>
      <w:pPr>
        <w:pStyle w:val="0"/>
        <w:rPr>
          <w:rFonts w:hint="default"/>
          <w:sz w:val="24"/>
        </w:rPr>
      </w:pPr>
    </w:p>
    <w:p>
      <w:pPr>
        <w:pStyle w:val="0"/>
        <w:adjustRightInd w:val="1"/>
        <w:rPr>
          <w:rFonts w:hint="default"/>
        </w:rPr>
      </w:pPr>
    </w:p>
    <w:p>
      <w:pPr>
        <w:pStyle w:val="0"/>
        <w:ind w:firstLine="220" w:firstLineChars="100"/>
        <w:rPr>
          <w:rFonts w:hint="default"/>
        </w:rPr>
      </w:pPr>
      <w:r>
        <w:rPr>
          <w:rFonts w:hint="eastAsia"/>
        </w:rPr>
        <w:t>【公式ウェブサイト掲載案内】</w:t>
      </w:r>
    </w:p>
    <w:p>
      <w:pPr>
        <w:pStyle w:val="0"/>
        <w:numPr>
          <w:ilvl w:val="0"/>
          <w:numId w:val="1"/>
        </w:numPr>
        <w:overflowPunct w:val="0"/>
        <w:adjustRightInd w:val="0"/>
        <w:textAlignment w:val="baseline"/>
        <w:rPr>
          <w:rFonts w:hint="eastAsia" w:ascii="ＭＳ 明朝" w:hAnsi="ＭＳ 明朝"/>
          <w:spacing w:val="6"/>
          <w:kern w:val="0"/>
          <w:sz w:val="22"/>
        </w:rPr>
      </w:pPr>
      <w:r>
        <w:rPr>
          <w:rFonts w:hint="eastAsia" w:ascii="ＭＳ 明朝" w:hAnsi="ＭＳ 明朝"/>
          <w:spacing w:val="6"/>
          <w:kern w:val="0"/>
          <w:sz w:val="22"/>
        </w:rPr>
        <w:t xml:space="preserve"> </w:t>
      </w:r>
      <w:r>
        <w:rPr>
          <w:rFonts w:hint="eastAsia" w:ascii="ＭＳ 明朝" w:hAnsi="ＭＳ 明朝"/>
          <w:spacing w:val="6"/>
          <w:kern w:val="0"/>
          <w:sz w:val="22"/>
        </w:rPr>
        <w:t>この調査結果は「秋田県公式ウェブサイト」</w:t>
      </w:r>
      <w:r>
        <w:rPr>
          <w:rFonts w:hint="eastAsia" w:ascii="ＭＳ 明朝" w:hAnsi="ＭＳ 明朝"/>
          <w:spacing w:val="4"/>
          <w:kern w:val="0"/>
          <w:sz w:val="22"/>
        </w:rPr>
        <w:t>【</w:t>
      </w:r>
      <w:r>
        <w:rPr>
          <w:rFonts w:hint="default" w:ascii="ＭＳ 明朝" w:hAnsi="ＭＳ 明朝"/>
          <w:kern w:val="0"/>
          <w:sz w:val="22"/>
        </w:rPr>
        <w:t>http://www.pref.akita.jp</w:t>
      </w:r>
      <w:r>
        <w:rPr>
          <w:rFonts w:hint="eastAsia" w:ascii="ＭＳ 明朝" w:hAnsi="ＭＳ 明朝"/>
          <w:kern w:val="0"/>
          <w:sz w:val="22"/>
        </w:rPr>
        <w:t>/</w:t>
      </w:r>
      <w:r>
        <w:rPr>
          <w:rFonts w:hint="eastAsia" w:ascii="ＭＳ 明朝" w:hAnsi="ＭＳ 明朝"/>
          <w:spacing w:val="4"/>
          <w:kern w:val="0"/>
          <w:sz w:val="22"/>
        </w:rPr>
        <w:t>】</w:t>
      </w:r>
      <w:r>
        <w:rPr>
          <w:rFonts w:hint="eastAsia" w:ascii="ＭＳ 明朝" w:hAnsi="ＭＳ 明朝"/>
          <w:spacing w:val="6"/>
          <w:kern w:val="0"/>
          <w:sz w:val="22"/>
        </w:rPr>
        <w:t>中で御覧いただけます。お問い合わせは次へお願いいたします。</w:t>
      </w:r>
    </w:p>
    <w:p>
      <w:pPr>
        <w:pStyle w:val="0"/>
        <w:overflowPunct w:val="0"/>
        <w:adjustRightInd w:val="0"/>
        <w:ind w:left="450" w:leftChars="215" w:firstLine="232" w:firstLineChars="100"/>
        <w:textAlignment w:val="baseline"/>
        <w:rPr>
          <w:rFonts w:hint="eastAsia" w:ascii="ＭＳ 明朝" w:hAnsi="ＭＳ 明朝"/>
          <w:spacing w:val="6"/>
          <w:kern w:val="0"/>
          <w:sz w:val="22"/>
        </w:rPr>
      </w:pPr>
    </w:p>
    <w:p>
      <w:pPr>
        <w:pStyle w:val="0"/>
        <w:overflowPunct w:val="0"/>
        <w:adjustRightInd w:val="0"/>
        <w:ind w:firstLine="773" w:firstLineChars="346"/>
        <w:textAlignment w:val="baseline"/>
        <w:rPr>
          <w:rFonts w:hint="eastAsia"/>
        </w:rPr>
      </w:pPr>
      <w:r>
        <w:rPr>
          <w:rFonts w:hint="eastAsia" w:ascii="ＭＳ 明朝" w:hAnsi="ＭＳ 明朝"/>
          <w:spacing w:val="2"/>
          <w:kern w:val="0"/>
          <w:sz w:val="22"/>
        </w:rPr>
        <w:t>（参考：公式ウェブサイトは、「美の国あきた」→「各種統計・調査」（中段・右端）　　　　　　　　</w:t>
      </w:r>
    </w:p>
    <w:p>
      <w:pPr>
        <w:pStyle w:val="0"/>
        <w:overflowPunct w:val="0"/>
        <w:adjustRightInd w:val="0"/>
        <w:ind w:firstLine="999" w:firstLineChars="446"/>
        <w:textAlignment w:val="baseline"/>
        <w:rPr>
          <w:rFonts w:hint="eastAsia" w:ascii="ＭＳ 明朝" w:hAnsi="ＭＳ 明朝"/>
          <w:spacing w:val="2"/>
          <w:kern w:val="0"/>
          <w:sz w:val="22"/>
        </w:rPr>
      </w:pPr>
      <w:r>
        <w:rPr>
          <w:rFonts w:hint="eastAsia" w:ascii="ＭＳ 明朝" w:hAnsi="ＭＳ 明朝"/>
          <w:spacing w:val="2"/>
          <w:kern w:val="0"/>
          <w:sz w:val="22"/>
        </w:rPr>
        <w:t>→「農林水産業」→「</w:t>
      </w:r>
      <w:r>
        <w:rPr>
          <w:rFonts w:hint="default" w:ascii="ＭＳ 明朝" w:hAnsi="ＭＳ 明朝"/>
          <w:color w:val="000000"/>
          <w:spacing w:val="12"/>
          <w:kern w:val="0"/>
          <w:sz w:val="22"/>
        </w:rPr>
        <w:t>20</w:t>
      </w:r>
      <w:r>
        <w:rPr>
          <w:rFonts w:hint="eastAsia" w:ascii="ＭＳ 明朝" w:hAnsi="ＭＳ 明朝"/>
          <w:color w:val="000000"/>
          <w:spacing w:val="12"/>
          <w:kern w:val="0"/>
          <w:sz w:val="22"/>
        </w:rPr>
        <w:t>20</w:t>
      </w:r>
      <w:r>
        <w:rPr>
          <w:rFonts w:hint="eastAsia" w:ascii="ＭＳ 明朝" w:hAnsi="ＭＳ 明朝"/>
          <w:color w:val="000000"/>
          <w:spacing w:val="6"/>
          <w:kern w:val="0"/>
          <w:sz w:val="22"/>
        </w:rPr>
        <w:t>年農林業センサス</w:t>
      </w:r>
      <w:r>
        <w:rPr>
          <w:rFonts w:hint="eastAsia" w:ascii="ＭＳ 明朝" w:hAnsi="ＭＳ 明朝"/>
          <w:spacing w:val="2"/>
          <w:kern w:val="0"/>
          <w:sz w:val="22"/>
        </w:rPr>
        <w:t>」の順で開くことができます。）</w:t>
      </w:r>
    </w:p>
    <w:p>
      <w:pPr>
        <w:pStyle w:val="0"/>
        <w:overflowPunct w:val="0"/>
        <w:adjustRightInd w:val="0"/>
        <w:ind w:firstLine="773" w:firstLineChars="346"/>
        <w:textAlignment w:val="baseline"/>
        <w:rPr>
          <w:rFonts w:hint="eastAsia" w:ascii="ＭＳ 明朝" w:hAnsi="ＭＳ 明朝"/>
          <w:spacing w:val="2"/>
          <w:kern w:val="0"/>
          <w:sz w:val="22"/>
        </w:rPr>
      </w:pPr>
      <w:r>
        <w:rPr>
          <w:rFonts w:hint="eastAsia"/>
        </w:rPr>
        <w:drawing>
          <wp:anchor simplePos="0" relativeHeight="4" behindDoc="0" locked="0" layoutInCell="1" hidden="0" allowOverlap="1">
            <wp:simplePos x="0" y="0"/>
            <wp:positionH relativeFrom="column">
              <wp:posOffset>509270</wp:posOffset>
            </wp:positionH>
            <wp:positionV relativeFrom="paragraph">
              <wp:posOffset>185420</wp:posOffset>
            </wp:positionV>
            <wp:extent cx="1590040" cy="159004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4"/>
                    <a:stretch>
                      <a:fillRect/>
                    </a:stretch>
                  </pic:blipFill>
                  <pic:spPr>
                    <a:xfrm>
                      <a:off x="0" y="0"/>
                      <a:ext cx="1590040" cy="1590040"/>
                    </a:xfrm>
                    <a:prstGeom prst="rect">
                      <a:avLst/>
                    </a:prstGeom>
                    <a:noFill/>
                    <a:ln>
                      <a:miter/>
                    </a:ln>
                  </pic:spPr>
                </pic:pic>
              </a:graphicData>
            </a:graphic>
          </wp:anchor>
        </w:drawing>
      </w:r>
    </w:p>
    <w:p>
      <w:pPr>
        <w:pStyle w:val="0"/>
        <w:overflowPunct w:val="0"/>
        <w:adjustRightInd w:val="0"/>
        <w:ind w:firstLine="773" w:firstLineChars="346"/>
        <w:textAlignment w:val="baseline"/>
        <w:rPr>
          <w:rFonts w:hint="eastAsia" w:ascii="ＭＳ 明朝" w:hAnsi="ＭＳ 明朝"/>
          <w:spacing w:val="2"/>
          <w:kern w:val="0"/>
          <w:sz w:val="22"/>
        </w:rPr>
      </w:pPr>
    </w:p>
    <w:p>
      <w:pPr>
        <w:pStyle w:val="0"/>
        <w:overflowPunct w:val="0"/>
        <w:adjustRightInd w:val="0"/>
        <w:ind w:firstLine="760" w:firstLineChars="346"/>
        <w:textAlignment w:val="baseline"/>
        <w:rPr>
          <w:rFonts w:hint="default" w:ascii="ＭＳ 明朝" w:hAnsi="ＭＳ 明朝"/>
          <w:spacing w:val="2"/>
          <w:kern w:val="0"/>
          <w:sz w:val="22"/>
        </w:rPr>
      </w:pPr>
      <w:r>
        <w:rPr>
          <w:rFonts w:hint="default" w:ascii="ＭＳ 明朝" w:hAnsi="ＭＳ 明朝"/>
          <w:kern w:val="0"/>
          <w:sz w:val="22"/>
        </w:rPr>
        <w:t xml:space="preserve">                           </w:t>
      </w:r>
      <w:r>
        <w:rPr>
          <w:rFonts w:hint="eastAsia" w:ascii="ＭＳ 明朝" w:hAnsi="ＭＳ 明朝"/>
          <w:kern w:val="0"/>
          <w:sz w:val="22"/>
        </w:rPr>
        <w:t>お問合せ先</w:t>
      </w:r>
    </w:p>
    <w:p>
      <w:pPr>
        <w:pStyle w:val="0"/>
        <w:overflowPunct w:val="0"/>
        <w:adjustRightInd w:val="0"/>
        <w:textAlignment w:val="baseline"/>
        <w:rPr>
          <w:rFonts w:hint="default" w:ascii="ＭＳ 明朝" w:hAnsi="ＭＳ 明朝"/>
          <w:spacing w:val="2"/>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　秋田県企画振興部　調査統計課</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kern w:val="0"/>
          <w:sz w:val="22"/>
        </w:rPr>
        <w:t>　　　　　　　　　　　　　　　　　　　　　経済統計班　農林業センサス担当</w:t>
      </w:r>
    </w:p>
    <w:p>
      <w:pPr>
        <w:pStyle w:val="0"/>
        <w:overflowPunct w:val="0"/>
        <w:adjustRightInd w:val="0"/>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電　話　</w:t>
      </w:r>
      <w:r>
        <w:rPr>
          <w:rFonts w:hint="default" w:ascii="ＭＳ 明朝" w:hAnsi="ＭＳ 明朝"/>
          <w:kern w:val="0"/>
          <w:sz w:val="22"/>
        </w:rPr>
        <w:t>018-860-125</w:t>
      </w:r>
      <w:r>
        <w:rPr>
          <w:rFonts w:hint="eastAsia" w:ascii="ＭＳ 明朝" w:hAnsi="ＭＳ 明朝"/>
          <w:kern w:val="0"/>
          <w:sz w:val="22"/>
        </w:rPr>
        <w:t>6</w:t>
      </w:r>
    </w:p>
    <w:p>
      <w:pPr>
        <w:pStyle w:val="0"/>
        <w:snapToGrid w:val="0"/>
        <w:spacing w:line="160" w:lineRule="atLeast"/>
        <w:jc w:val="center"/>
        <w:rPr>
          <w:rFonts w:hint="default"/>
          <w:b w:val="1"/>
          <w:color w:val="C45911"/>
          <w:sz w:val="12"/>
        </w:rPr>
      </w:pPr>
    </w:p>
    <w:p>
      <w:pPr>
        <w:pStyle w:val="0"/>
        <w:overflowPunct w:val="0"/>
        <w:adjustRightInd w:val="0"/>
        <w:textAlignment w:val="baseline"/>
        <w:rPr>
          <w:rFonts w:hint="eastAsia" w:ascii="ＭＳ 明朝" w:hAnsi="ＭＳ 明朝"/>
          <w:kern w:val="0"/>
          <w:sz w:val="22"/>
        </w:rPr>
      </w:pPr>
    </w:p>
    <w:p>
      <w:pPr>
        <w:pStyle w:val="0"/>
        <w:adjustRightInd w:val="1"/>
        <w:snapToGrid w:val="0"/>
        <w:ind w:leftChars="0" w:firstLine="0" w:firstLineChars="0"/>
        <w:rPr>
          <w:rFonts w:hint="default"/>
          <w:color w:val="auto"/>
          <w:sz w:val="24"/>
        </w:rPr>
      </w:pPr>
      <w:r>
        <w:rPr>
          <w:rFonts w:hint="eastAsia"/>
        </w:rPr>
        <mc:AlternateContent>
          <mc:Choice Requires="wps">
            <w:drawing>
              <wp:anchor simplePos="0" relativeHeight="3" behindDoc="0" locked="0" layoutInCell="1" hidden="0" allowOverlap="1">
                <wp:simplePos x="0" y="0"/>
                <wp:positionH relativeFrom="column">
                  <wp:posOffset>662940</wp:posOffset>
                </wp:positionH>
                <wp:positionV relativeFrom="paragraph">
                  <wp:posOffset>172085</wp:posOffset>
                </wp:positionV>
                <wp:extent cx="1228725" cy="38354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228725" cy="383540"/>
                        </a:xfrm>
                        <a:prstGeom prst="rect">
                          <a:avLst/>
                        </a:prstGeom>
                        <a:noFill/>
                        <a:ln>
                          <a:miter/>
                        </a:ln>
                      </wps:spPr>
                      <wps:txbx>
                        <w:txbxContent>
                          <w:p>
                            <w:pPr>
                              <w:pStyle w:val="0"/>
                              <w:snapToGrid w:val="0"/>
                              <w:spacing w:line="160" w:lineRule="atLeast"/>
                              <w:jc w:val="center"/>
                              <w:rPr>
                                <w:rFonts w:hint="default"/>
                                <w:b w:val="1"/>
                                <w:color w:val="C45911"/>
                                <w:sz w:val="16"/>
                              </w:rPr>
                            </w:pPr>
                            <w:r>
                              <w:rPr>
                                <w:rFonts w:hint="eastAsia"/>
                                <w:b w:val="1"/>
                                <w:color w:val="C45911"/>
                                <w:sz w:val="16"/>
                              </w:rPr>
                              <w:t>マスコットキャラクター</w:t>
                            </w:r>
                          </w:p>
                          <w:p>
                            <w:pPr>
                              <w:pStyle w:val="0"/>
                              <w:snapToGrid w:val="0"/>
                              <w:spacing w:line="160" w:lineRule="atLeast"/>
                              <w:jc w:val="center"/>
                              <w:rPr>
                                <w:rFonts w:hint="default"/>
                                <w:b w:val="1"/>
                                <w:color w:val="C45911"/>
                                <w:sz w:val="12"/>
                              </w:rPr>
                            </w:pPr>
                            <w:r>
                              <w:rPr>
                                <w:rFonts w:hint="eastAsia"/>
                                <w:b w:val="1"/>
                                <w:color w:val="C45911"/>
                                <w:sz w:val="16"/>
                              </w:rPr>
                              <w:t>「つっちー」</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55pt;mso-position-vertical-relative:text;mso-position-horizontal-relative:text;position:absolute;height:30.2pt;width:96.75pt;margin-left:52.2pt;z-index:3;" o:spid="_x0000_s1028" o:allowincell="t" o:allowoverlap="t" filled="f" stroked="f" o:spt="202" type="#_x0000_t202">
                <v:fill/>
                <v:textbox style="layout-flow:horizontal;" inset="0mm,0mm,0mm,0mm">
                  <w:txbxContent>
                    <w:p>
                      <w:pPr>
                        <w:pStyle w:val="0"/>
                        <w:snapToGrid w:val="0"/>
                        <w:spacing w:line="160" w:lineRule="atLeast"/>
                        <w:jc w:val="center"/>
                        <w:rPr>
                          <w:rFonts w:hint="default"/>
                          <w:b w:val="1"/>
                          <w:color w:val="C45911"/>
                          <w:sz w:val="16"/>
                        </w:rPr>
                      </w:pPr>
                      <w:r>
                        <w:rPr>
                          <w:rFonts w:hint="eastAsia"/>
                          <w:b w:val="1"/>
                          <w:color w:val="C45911"/>
                          <w:sz w:val="16"/>
                        </w:rPr>
                        <w:t>マスコットキャラクター</w:t>
                      </w:r>
                    </w:p>
                    <w:p>
                      <w:pPr>
                        <w:pStyle w:val="0"/>
                        <w:snapToGrid w:val="0"/>
                        <w:spacing w:line="160" w:lineRule="atLeast"/>
                        <w:jc w:val="center"/>
                        <w:rPr>
                          <w:rFonts w:hint="default"/>
                          <w:b w:val="1"/>
                          <w:color w:val="C45911"/>
                          <w:sz w:val="12"/>
                        </w:rPr>
                      </w:pPr>
                      <w:r>
                        <w:rPr>
                          <w:rFonts w:hint="eastAsia"/>
                          <w:b w:val="1"/>
                          <w:color w:val="C45911"/>
                          <w:sz w:val="16"/>
                        </w:rPr>
                        <w:t>「つっちー」</w:t>
                      </w:r>
                    </w:p>
                  </w:txbxContent>
                </v:textbox>
                <v:imagedata o:title=""/>
                <w10:wrap type="none" anchorx="text" anchory="text"/>
              </v:shape>
            </w:pict>
          </mc:Fallback>
        </mc:AlternateContent>
      </w:r>
    </w:p>
    <w:sectPr>
      <w:footerReference r:id="rId12" w:type="even"/>
      <w:footerReference r:id="rId13" w:type="default"/>
      <w:footerReference r:id="rId11" w:type="first"/>
      <w:type w:val="continuous"/>
      <w:pgSz w:w="11906" w:h="16838"/>
      <w:pgMar w:top="1134" w:right="1247" w:bottom="851" w:left="1247" w:header="720" w:footer="284" w:gutter="0"/>
      <w:pgNumType w:fmt="numberInDash" w:start="1"/>
      <w:cols w:space="720"/>
      <w:noEndnote w:val="1"/>
      <w:textDirection w:val="lrTb"/>
      <w:docGrid w:type="lines" w:linePitch="346" w:charSpace="8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- 1 -</w:t>
        </w:r>
        <w:r>
          <w:rPr>
            <w:rFonts w:hint="eastAsia"/>
          </w:rPr>
          <w:fldChar w:fldCharType="end"/>
        </w:r>
      </w:p>
    </w:sdtContent>
  </w:sdt>
  <w:p>
    <w:pPr>
      <w:pStyle w:val="0"/>
      <w:tabs>
        <w:tab w:val="left" w:leader="none" w:pos="5802"/>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D49952"/>
    <w:lvl w:ilvl="0" w:tplc="424EFB92">
      <w:numFmt w:val="bullet"/>
      <w:lvlText w:val="○"/>
      <w:lvlJc w:val="left"/>
      <w:pPr>
        <w:tabs>
          <w:tab w:val="num" w:leader="none" w:pos="810"/>
        </w:tabs>
        <w:ind w:left="810" w:hanging="360"/>
      </w:pPr>
      <w:rPr>
        <w:rFonts w:hint="eastAsia" w:ascii="ＭＳ 明朝" w:hAnsi="ＭＳ 明朝" w:eastAsia="ＭＳ 明朝"/>
      </w:rPr>
    </w:lvl>
    <w:lvl w:ilvl="1" w:tplc="0409000B">
      <w:numFmt w:val="bullet"/>
      <w:lvlText w:val=""/>
      <w:lvlJc w:val="left"/>
      <w:pPr>
        <w:tabs>
          <w:tab w:val="num" w:leader="none" w:pos="1290"/>
        </w:tabs>
        <w:ind w:left="1290" w:hanging="420"/>
      </w:pPr>
      <w:rPr>
        <w:rFonts w:hint="default" w:ascii="Wingdings" w:hAnsi="Wingdings"/>
      </w:rPr>
    </w:lvl>
    <w:lvl w:ilvl="2" w:tplc="0409000D">
      <w:numFmt w:val="bullet"/>
      <w:lvlText w:val=""/>
      <w:lvlJc w:val="left"/>
      <w:pPr>
        <w:tabs>
          <w:tab w:val="num" w:leader="none" w:pos="1710"/>
        </w:tabs>
        <w:ind w:left="1710" w:hanging="420"/>
      </w:pPr>
      <w:rPr>
        <w:rFonts w:hint="default" w:ascii="Wingdings" w:hAnsi="Wingdings"/>
      </w:rPr>
    </w:lvl>
    <w:lvl w:ilvl="3" w:tplc="04090001">
      <w:numFmt w:val="bullet"/>
      <w:lvlText w:val=""/>
      <w:lvlJc w:val="left"/>
      <w:pPr>
        <w:tabs>
          <w:tab w:val="num" w:leader="none" w:pos="2130"/>
        </w:tabs>
        <w:ind w:left="2130" w:hanging="420"/>
      </w:pPr>
      <w:rPr>
        <w:rFonts w:hint="default" w:ascii="Wingdings" w:hAnsi="Wingdings"/>
      </w:rPr>
    </w:lvl>
    <w:lvl w:ilvl="4" w:tplc="0409000B">
      <w:numFmt w:val="bullet"/>
      <w:lvlText w:val=""/>
      <w:lvlJc w:val="left"/>
      <w:pPr>
        <w:tabs>
          <w:tab w:val="num" w:leader="none" w:pos="2550"/>
        </w:tabs>
        <w:ind w:left="2550" w:hanging="420"/>
      </w:pPr>
      <w:rPr>
        <w:rFonts w:hint="default" w:ascii="Wingdings" w:hAnsi="Wingdings"/>
      </w:rPr>
    </w:lvl>
    <w:lvl w:ilvl="5" w:tplc="0409000D">
      <w:numFmt w:val="bullet"/>
      <w:lvlText w:val=""/>
      <w:lvlJc w:val="left"/>
      <w:pPr>
        <w:tabs>
          <w:tab w:val="num" w:leader="none" w:pos="2970"/>
        </w:tabs>
        <w:ind w:left="2970" w:hanging="420"/>
      </w:pPr>
      <w:rPr>
        <w:rFonts w:hint="default" w:ascii="Wingdings" w:hAnsi="Wingdings"/>
      </w:rPr>
    </w:lvl>
    <w:lvl w:ilvl="6" w:tplc="04090001">
      <w:numFmt w:val="bullet"/>
      <w:lvlText w:val=""/>
      <w:lvlJc w:val="left"/>
      <w:pPr>
        <w:tabs>
          <w:tab w:val="num" w:leader="none" w:pos="3390"/>
        </w:tabs>
        <w:ind w:left="3390" w:hanging="420"/>
      </w:pPr>
      <w:rPr>
        <w:rFonts w:hint="default" w:ascii="Wingdings" w:hAnsi="Wingdings"/>
      </w:rPr>
    </w:lvl>
    <w:lvl w:ilvl="7" w:tplc="0409000B">
      <w:numFmt w:val="bullet"/>
      <w:lvlText w:val=""/>
      <w:lvlJc w:val="left"/>
      <w:pPr>
        <w:tabs>
          <w:tab w:val="num" w:leader="none" w:pos="3810"/>
        </w:tabs>
        <w:ind w:left="3810" w:hanging="420"/>
      </w:pPr>
      <w:rPr>
        <w:rFonts w:hint="default" w:ascii="Wingdings" w:hAnsi="Wingdings"/>
      </w:rPr>
    </w:lvl>
    <w:lvl w:ilvl="8" w:tplc="0409000D">
      <w:numFmt w:val="bullet"/>
      <w:lvlText w:val=""/>
      <w:lvlJc w:val="left"/>
      <w:pPr>
        <w:tabs>
          <w:tab w:val="num" w:leader="none" w:pos="4230"/>
        </w:tabs>
        <w:ind w:left="423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6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paragraph" w:styleId="1">
    <w:name w:val="heading 1"/>
    <w:basedOn w:val="0"/>
    <w:next w:val="0"/>
    <w:link w:val="22"/>
    <w:uiPriority w:val="0"/>
    <w:qFormat/>
    <w:pPr>
      <w:keepNext w:val="1"/>
      <w:outlineLvl w:val="0"/>
    </w:pPr>
    <w:rPr>
      <w:rFonts w:ascii="ＭＳ ゴシック" w:hAnsi="ＭＳ ゴシック" w:eastAsia="ＭＳ ゴシック"/>
      <w:sz w:val="24"/>
    </w:rPr>
  </w:style>
  <w:style w:type="paragraph" w:styleId="2">
    <w:name w:val="heading 2"/>
    <w:basedOn w:val="0"/>
    <w:next w:val="0"/>
    <w:link w:val="23"/>
    <w:uiPriority w:val="0"/>
    <w:qFormat/>
    <w:pPr>
      <w:keepNext w:val="1"/>
      <w:outlineLvl w:val="1"/>
    </w:pPr>
    <w:rPr>
      <w:rFonts w:ascii="ＭＳ ゴシック" w:hAnsi="ＭＳ ゴシック" w:eastAsia="ＭＳ ゴシック"/>
      <w:sz w:val="24"/>
    </w:rPr>
  </w:style>
  <w:style w:type="paragraph" w:styleId="3">
    <w:name w:val="heading 3"/>
    <w:basedOn w:val="0"/>
    <w:next w:val="0"/>
    <w:link w:val="26"/>
    <w:uiPriority w:val="0"/>
    <w:qFormat/>
    <w:pPr>
      <w:keepNext w:val="1"/>
      <w:ind w:left="100" w:leftChars="100"/>
      <w:outlineLvl w:val="2"/>
    </w:pPr>
    <w:rPr>
      <w:sz w:val="24"/>
    </w:rPr>
  </w:style>
  <w:style w:type="paragraph" w:styleId="4">
    <w:name w:val="heading 4"/>
    <w:basedOn w:val="0"/>
    <w:next w:val="0"/>
    <w:link w:val="27"/>
    <w:uiPriority w:val="0"/>
    <w:qFormat/>
    <w:pPr>
      <w:keepNext w:val="1"/>
      <w:ind w:left="200" w:leftChars="200"/>
      <w:outlineLvl w:val="3"/>
    </w:pPr>
  </w:style>
  <w:style w:type="paragraph" w:styleId="5">
    <w:name w:val="heading 5"/>
    <w:basedOn w:val="0"/>
    <w:next w:val="0"/>
    <w:link w:val="28"/>
    <w:uiPriority w:val="0"/>
    <w:qFormat/>
    <w:pPr>
      <w:keepNext w:val="1"/>
      <w:ind w:left="250" w:leftChars="25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color w:val="000000"/>
      <w:kern w:val="0"/>
      <w:sz w:val="24"/>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color w:val="000000"/>
      <w:sz w:val="18"/>
    </w:rPr>
  </w:style>
  <w:style w:type="character" w:styleId="22" w:customStyle="1">
    <w:name w:val="見出し 1 (文字)"/>
    <w:next w:val="22"/>
    <w:link w:val="1"/>
    <w:uiPriority w:val="0"/>
    <w:rPr>
      <w:rFonts w:ascii="ＭＳ ゴシック" w:hAnsi="ＭＳ ゴシック" w:eastAsia="ＭＳ ゴシック"/>
      <w:color w:val="000000"/>
      <w:sz w:val="24"/>
    </w:rPr>
  </w:style>
  <w:style w:type="character" w:styleId="23" w:customStyle="1">
    <w:name w:val="見出し 2 (文字)"/>
    <w:next w:val="23"/>
    <w:link w:val="2"/>
    <w:uiPriority w:val="0"/>
    <w:rPr>
      <w:rFonts w:ascii="ＭＳ ゴシック" w:hAnsi="ＭＳ ゴシック" w:eastAsia="ＭＳ ゴシック"/>
      <w:color w:val="000000"/>
      <w:sz w:val="24"/>
    </w:rPr>
  </w:style>
  <w:style w:type="paragraph" w:styleId="24">
    <w:name w:val="Body Text"/>
    <w:basedOn w:val="0"/>
    <w:next w:val="24"/>
    <w:link w:val="25"/>
    <w:uiPriority w:val="0"/>
    <w:pPr>
      <w:ind w:left="100" w:leftChars="100" w:firstLine="100" w:firstLineChars="100"/>
    </w:pPr>
  </w:style>
  <w:style w:type="character" w:styleId="25" w:customStyle="1">
    <w:name w:val="本文 (文字)"/>
    <w:next w:val="25"/>
    <w:link w:val="24"/>
    <w:uiPriority w:val="0"/>
    <w:rPr>
      <w:rFonts w:ascii="ＭＳ 明朝" w:hAnsi="ＭＳ 明朝"/>
      <w:color w:val="000000"/>
      <w:sz w:val="22"/>
    </w:rPr>
  </w:style>
  <w:style w:type="character" w:styleId="26" w:customStyle="1">
    <w:name w:val="見出し 3 (文字)"/>
    <w:next w:val="26"/>
    <w:link w:val="3"/>
    <w:uiPriority w:val="0"/>
    <w:rPr>
      <w:rFonts w:ascii="ＭＳ 明朝" w:hAnsi="ＭＳ 明朝"/>
      <w:color w:val="000000"/>
      <w:sz w:val="24"/>
    </w:rPr>
  </w:style>
  <w:style w:type="character" w:styleId="27" w:customStyle="1">
    <w:name w:val="見出し 4 (文字)"/>
    <w:next w:val="27"/>
    <w:link w:val="4"/>
    <w:uiPriority w:val="0"/>
    <w:rPr>
      <w:rFonts w:ascii="ＭＳ 明朝" w:hAnsi="ＭＳ 明朝"/>
      <w:color w:val="000000"/>
      <w:sz w:val="22"/>
    </w:rPr>
  </w:style>
  <w:style w:type="character" w:styleId="28" w:customStyle="1">
    <w:name w:val="見出し 5 (文字)"/>
    <w:basedOn w:val="10"/>
    <w:next w:val="28"/>
    <w:link w:val="5"/>
    <w:uiPriority w:val="0"/>
    <w:rPr>
      <w:rFonts w:ascii="ＭＳ 明朝" w:hAnsi="ＭＳ 明朝"/>
      <w:color w:val="00000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image" Target="media/image2.png"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16</Pages>
  <Words>119</Words>
  <Characters>11564</Characters>
  <Application>JUST Note</Application>
  <Lines>720</Lines>
  <Paragraphs>375</Paragraphs>
  <Company>農林水産省</Company>
  <CharactersWithSpaces>12108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【調査の概要】</dc:title>
  <dc:creator>masato_shimauti</dc:creator>
  <cp:lastModifiedBy>近藤　幸彦</cp:lastModifiedBy>
  <cp:lastPrinted>2021-06-16T01:48:19Z</cp:lastPrinted>
  <dcterms:created xsi:type="dcterms:W3CDTF">2021-03-23T07:36:00Z</dcterms:created>
  <dcterms:modified xsi:type="dcterms:W3CDTF">2021-06-16T01:47:55Z</dcterms:modified>
  <cp:revision>16</cp:revision>
</cp:coreProperties>
</file>