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秋田県立保呂羽山少年自然の家　所長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9pt;mso-position-vertical-relative:text;mso-position-horizontal-relative:text;position:absolute;height:81pt;width:79.45pt;margin-left:295.10000000000002pt;z-index:2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  <w:r>
        <w:rPr>
          <w:rFonts w:hint="eastAsia"/>
        </w:rPr>
        <w:t>　消防用設備等点検業務委託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秋田県立保呂羽山少年自然の家　所長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消防用設備等点検業務委託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再　入　札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秋田県立保呂羽山少年自然の家　所長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center" w:leader="none" w:pos="3496"/>
                <w:tab w:val="left" w:leader="none" w:pos="4224"/>
              </w:tabs>
              <w:jc w:val="both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消防用設備等点検業務委託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3</Pages>
  <Words>0</Words>
  <Characters>387</Characters>
  <Application>JUST Note</Application>
  <Lines>242</Lines>
  <Paragraphs>52</Paragraphs>
  <CharactersWithSpaces>573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茂木　陽大</cp:lastModifiedBy>
  <cp:lastPrinted>2025-07-22T05:25:52Z</cp:lastPrinted>
  <dcterms:created xsi:type="dcterms:W3CDTF">2019-04-26T06:47:00Z</dcterms:created>
  <dcterms:modified xsi:type="dcterms:W3CDTF">2023-07-21T08:55:52Z</dcterms:modified>
  <cp:revision>13</cp:revision>
</cp:coreProperties>
</file>