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様式１－１</w:t>
      </w:r>
    </w:p>
    <w:p>
      <w:pPr>
        <w:pStyle w:val="0"/>
        <w:rPr>
          <w:rFonts w:hint="default"/>
        </w:rPr>
      </w:pPr>
      <w:r>
        <w:rPr>
          <w:rFonts w:hint="eastAsia"/>
          <w:spacing w:val="-2"/>
        </w:rPr>
        <w:t xml:space="preserve"> </w:t>
      </w:r>
    </w:p>
    <w:p>
      <w:pPr>
        <w:pStyle w:val="0"/>
        <w:spacing w:line="322" w:lineRule="exact"/>
        <w:rPr>
          <w:rFonts w:hint="default"/>
          <w:color w:val="auto"/>
        </w:rPr>
      </w:pPr>
      <w:r>
        <w:rPr>
          <w:rFonts w:hint="eastAsia"/>
          <w:color w:val="auto"/>
          <w:sz w:val="24"/>
        </w:rPr>
        <w:t>秋田県育成経営体の登録に関する確認書</w:t>
      </w:r>
    </w:p>
    <w:p>
      <w:pPr>
        <w:pStyle w:val="0"/>
        <w:rPr>
          <w:rFonts w:hint="default"/>
          <w:color w:val="auto"/>
        </w:rPr>
      </w:pPr>
    </w:p>
    <w:p>
      <w:pPr>
        <w:pStyle w:val="0"/>
        <w:rPr>
          <w:rFonts w:hint="default"/>
          <w:color w:val="auto"/>
          <w:u w:val="single" w:color="auto"/>
        </w:rPr>
      </w:pPr>
      <w:r>
        <w:rPr>
          <w:rFonts w:hint="eastAsia"/>
          <w:color w:val="auto"/>
          <w:u w:val="single" w:color="auto"/>
        </w:rPr>
        <w:t>林業経営体名：　　　　　　　　　</w:t>
      </w:r>
    </w:p>
    <w:p>
      <w:pPr>
        <w:pStyle w:val="0"/>
        <w:rPr>
          <w:rFonts w:hint="default"/>
          <w:color w:val="auto"/>
          <w:u w:val="single" w:color="auto"/>
        </w:rPr>
      </w:pPr>
    </w:p>
    <w:tbl>
      <w:tblPr>
        <w:tblStyle w:val="11"/>
        <w:tblW w:w="0" w:type="auto"/>
        <w:tblInd w:w="57" w:type="dxa"/>
        <w:tblLayout w:type="fixed"/>
        <w:tblCellMar>
          <w:left w:w="0" w:type="dxa"/>
          <w:right w:w="0" w:type="dxa"/>
        </w:tblCellMar>
        <w:tblLook w:firstRow="0" w:lastRow="0" w:firstColumn="0" w:lastColumn="0" w:noHBand="0" w:noVBand="0" w:val="0000"/>
      </w:tblPr>
      <w:tblGrid>
        <w:gridCol w:w="2640"/>
        <w:gridCol w:w="4440"/>
        <w:gridCol w:w="1134"/>
      </w:tblGrid>
      <w:tr>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項　目</w:t>
            </w: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基　準</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適　合</w:t>
            </w:r>
          </w:p>
        </w:tc>
      </w:tr>
      <w:tr>
        <w:trPr>
          <w:trHeight w:val="2557"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368" w:hanging="368" w:hangingChars="166"/>
              <w:rPr>
                <w:rFonts w:hint="default"/>
                <w:color w:val="auto"/>
              </w:rPr>
            </w:pPr>
            <w:r>
              <w:rPr>
                <w:rFonts w:hint="eastAsia" w:ascii="ＭＳ 明朝" w:hAnsi="ＭＳ 明朝"/>
                <w:color w:val="auto"/>
              </w:rPr>
              <w:t>(1)</w:t>
            </w:r>
            <w:r>
              <w:rPr>
                <w:rFonts w:hint="eastAsia"/>
                <w:color w:val="auto"/>
              </w:rPr>
              <w:t>生産量の増加又は生</w:t>
            </w:r>
            <w:r>
              <w:rPr>
                <w:rFonts w:hint="eastAsia"/>
                <w:color w:val="auto"/>
                <w:spacing w:val="-2"/>
              </w:rPr>
              <w:t xml:space="preserve">   </w:t>
            </w:r>
            <w:r>
              <w:rPr>
                <w:rFonts w:hint="eastAsia"/>
                <w:color w:val="auto"/>
              </w:rPr>
              <w:t>産性の向上</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279" w:hanging="279" w:hangingChars="126"/>
              <w:rPr>
                <w:rFonts w:hint="default"/>
                <w:color w:val="auto"/>
              </w:rPr>
            </w:pPr>
            <w:r>
              <w:rPr>
                <w:rFonts w:hint="eastAsia"/>
                <w:color w:val="auto"/>
              </w:rPr>
              <w:t>①素材生産に関し、生産量を一定の割合以上で増加させる目標を有していること、又は生産性を一定の割合以上で向上させる目標を有</w:t>
            </w:r>
            <w:r>
              <w:rPr>
                <w:rFonts w:hint="eastAsia" w:ascii="ＭＳ 明朝" w:hAnsi="ＭＳ 明朝"/>
                <w:color w:val="auto"/>
              </w:rPr>
              <w:t>していること。</w:t>
            </w:r>
            <w:r>
              <w:rPr>
                <w:rFonts w:hint="eastAsia" w:ascii="ＭＳ 明朝" w:hAnsi="ＭＳ 明朝"/>
                <w:color w:val="auto"/>
                <w:spacing w:val="-2"/>
              </w:rPr>
              <w:t xml:space="preserve"> </w:t>
            </w:r>
          </w:p>
          <w:p>
            <w:pPr>
              <w:pStyle w:val="0"/>
              <w:ind w:left="221" w:hanging="221" w:hangingChars="100"/>
              <w:rPr>
                <w:rFonts w:hint="default" w:ascii="ＭＳ 明朝" w:hAnsi="ＭＳ 明朝"/>
                <w:color w:val="auto"/>
              </w:rPr>
            </w:pPr>
          </w:p>
          <w:p>
            <w:pPr>
              <w:pStyle w:val="0"/>
              <w:ind w:left="221" w:hanging="221" w:hangingChars="100"/>
              <w:rPr>
                <w:rFonts w:hint="default"/>
                <w:color w:val="auto"/>
              </w:rPr>
            </w:pPr>
            <w:r>
              <w:rPr>
                <w:rFonts w:hint="eastAsia" w:ascii="ＭＳ 明朝" w:hAnsi="ＭＳ 明朝"/>
                <w:color w:val="auto"/>
              </w:rPr>
              <w:t>②生産量又は生産性の実績が一定の水準以上の場合は、当該実績以上の目標を有していること。</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ind w:firstLine="93" w:firstLineChars="42"/>
              <w:rPr>
                <w:rFonts w:hint="default"/>
                <w:color w:val="auto"/>
              </w:rPr>
            </w:pPr>
            <w:r>
              <w:rPr>
                <w:rFonts w:hint="eastAsia"/>
                <w:color w:val="auto"/>
              </w:rPr>
              <w:t>適・否</w:t>
            </w:r>
          </w:p>
        </w:tc>
      </w:tr>
      <w:tr>
        <w:trPr>
          <w:trHeight w:val="3503"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368" w:hanging="368" w:hangingChars="166"/>
              <w:rPr>
                <w:rFonts w:hint="default"/>
                <w:color w:val="auto"/>
              </w:rPr>
            </w:pPr>
            <w:r>
              <w:rPr>
                <w:rFonts w:hint="eastAsia" w:ascii="ＭＳ 明朝" w:hAnsi="ＭＳ 明朝"/>
                <w:color w:val="auto"/>
              </w:rPr>
              <w:t>(</w:t>
            </w:r>
            <w:r>
              <w:rPr>
                <w:rFonts w:hint="eastAsia" w:asciiTheme="minorEastAsia" w:hAnsiTheme="minorEastAsia" w:eastAsiaTheme="minorEastAsia"/>
                <w:color w:val="auto"/>
              </w:rPr>
              <w:t>2</w:t>
            </w:r>
            <w:r>
              <w:rPr>
                <w:rFonts w:hint="eastAsia" w:ascii="ＭＳ 明朝" w:hAnsi="ＭＳ 明朝"/>
                <w:color w:val="auto"/>
              </w:rPr>
              <w:t>)</w:t>
            </w:r>
            <w:r>
              <w:rPr>
                <w:rFonts w:hint="eastAsia"/>
                <w:color w:val="auto"/>
              </w:rPr>
              <w:t>生産管理又は流通合</w:t>
            </w:r>
            <w:r>
              <w:rPr>
                <w:rFonts w:hint="eastAsia"/>
                <w:color w:val="auto"/>
                <w:spacing w:val="-2"/>
              </w:rPr>
              <w:t xml:space="preserve">   </w:t>
            </w:r>
            <w:r>
              <w:rPr>
                <w:rFonts w:hint="eastAsia"/>
                <w:color w:val="auto"/>
              </w:rPr>
              <w:t>理化等</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spacing w:val="-2"/>
              </w:rPr>
              <w:t xml:space="preserve">  </w:t>
            </w:r>
            <w:r>
              <w:rPr>
                <w:rFonts w:hint="eastAsia"/>
                <w:color w:val="auto"/>
              </w:rPr>
              <w:t>以下のいずれかに取り組んでいること。又は今後取り組む意向を明らかにすること。</w:t>
            </w:r>
          </w:p>
          <w:p>
            <w:pPr>
              <w:pStyle w:val="0"/>
              <w:ind w:left="279" w:hanging="279" w:hangingChars="126"/>
              <w:rPr>
                <w:rFonts w:hint="default"/>
                <w:color w:val="auto"/>
              </w:rPr>
            </w:pPr>
          </w:p>
          <w:p>
            <w:pPr>
              <w:pStyle w:val="0"/>
              <w:ind w:left="279" w:hanging="279" w:hangingChars="126"/>
              <w:rPr>
                <w:rFonts w:hint="default"/>
                <w:color w:val="auto"/>
              </w:rPr>
            </w:pPr>
            <w:r>
              <w:rPr>
                <w:rFonts w:hint="eastAsia"/>
                <w:color w:val="auto"/>
              </w:rPr>
              <w:t>①作業日報の作成・分析による進捗管理、生産工程の見直し、作業システムの改善等の適切な生産管理</w:t>
            </w:r>
          </w:p>
          <w:p>
            <w:pPr>
              <w:pStyle w:val="0"/>
              <w:ind w:left="279" w:hanging="279" w:hangingChars="126"/>
              <w:rPr>
                <w:rFonts w:hint="default"/>
                <w:color w:val="auto"/>
              </w:rPr>
            </w:pPr>
          </w:p>
          <w:p>
            <w:pPr>
              <w:pStyle w:val="0"/>
              <w:ind w:left="279" w:hanging="279" w:hangingChars="126"/>
              <w:rPr>
                <w:rFonts w:hint="default"/>
                <w:color w:val="auto"/>
              </w:rPr>
            </w:pPr>
            <w:r>
              <w:rPr>
                <w:rFonts w:hint="eastAsia"/>
                <w:color w:val="auto"/>
              </w:rPr>
              <w:t>②製材工場等需要者との直接的な取引、木材流通業者や森林組合系統等の取りまとめ機関を通じた共同販売・共同出荷、森林所有者や工務店等と連携した原木の安定供給・流通の合理化等</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ind w:firstLine="93" w:firstLineChars="42"/>
              <w:rPr>
                <w:rFonts w:hint="default"/>
                <w:color w:val="auto"/>
              </w:rPr>
            </w:pPr>
            <w:r>
              <w:rPr>
                <w:rFonts w:hint="eastAsia"/>
                <w:color w:val="auto"/>
              </w:rPr>
              <w:t>適・否</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c>
          <w:tcPr>
            <w:tcW w:w="264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221" w:hanging="221" w:hangingChars="100"/>
              <w:rPr>
                <w:rFonts w:hint="default"/>
                <w:color w:val="auto"/>
              </w:rPr>
            </w:pPr>
            <w:r>
              <w:rPr>
                <w:rFonts w:hint="eastAsia" w:ascii="ＭＳ 明朝" w:hAnsi="ＭＳ 明朝"/>
                <w:color w:val="auto"/>
              </w:rPr>
              <w:t>(</w:t>
            </w:r>
            <w:r>
              <w:rPr>
                <w:rFonts w:hint="eastAsia" w:asciiTheme="minorEastAsia" w:hAnsiTheme="minorEastAsia" w:eastAsiaTheme="minorEastAsia"/>
                <w:color w:val="auto"/>
              </w:rPr>
              <w:t>3</w:t>
            </w:r>
            <w:r>
              <w:rPr>
                <w:rFonts w:hint="eastAsia" w:ascii="ＭＳ 明朝" w:hAnsi="ＭＳ 明朝"/>
                <w:color w:val="auto"/>
              </w:rPr>
              <w:t>)</w:t>
            </w:r>
            <w:r>
              <w:rPr>
                <w:rFonts w:hint="eastAsia"/>
                <w:color w:val="auto"/>
              </w:rPr>
              <w:t>造林・保育の省力化　・低コスト化</w:t>
            </w:r>
          </w:p>
          <w:p>
            <w:pPr>
              <w:pStyle w:val="0"/>
              <w:rPr>
                <w:rFonts w:hint="default"/>
                <w:color w:val="auto"/>
              </w:rPr>
            </w:pPr>
          </w:p>
          <w:p>
            <w:pPr>
              <w:pStyle w:val="0"/>
              <w:rPr>
                <w:rFonts w:hint="default"/>
                <w:color w:val="auto"/>
              </w:rPr>
            </w:pPr>
          </w:p>
          <w:p>
            <w:pPr>
              <w:pStyle w:val="0"/>
              <w:rPr>
                <w:rFonts w:hint="default"/>
                <w:color w:val="auto"/>
              </w:rPr>
            </w:pP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spacing w:val="-2"/>
              </w:rPr>
              <w:t xml:space="preserve">  </w:t>
            </w:r>
            <w:r>
              <w:rPr>
                <w:rFonts w:hint="eastAsia"/>
                <w:color w:val="auto"/>
              </w:rPr>
              <w:t>伐採・造林の一貫作業システムの導入、コンテナ苗の使用、低密度植栽、下刈りの省略などに取り組んでいること。又は今後取り組む意向を明らかにすること。</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p>
            <w:pPr>
              <w:pStyle w:val="0"/>
              <w:ind w:firstLine="93" w:firstLineChars="42"/>
              <w:rPr>
                <w:rFonts w:hint="default"/>
                <w:color w:val="auto"/>
              </w:rPr>
            </w:pPr>
            <w:r>
              <w:rPr>
                <w:rFonts w:hint="eastAsia"/>
                <w:color w:val="auto"/>
              </w:rPr>
              <w:t>適・否</w:t>
            </w:r>
          </w:p>
          <w:p>
            <w:pPr>
              <w:pStyle w:val="0"/>
              <w:rPr>
                <w:rFonts w:hint="default"/>
                <w:color w:val="auto"/>
              </w:rPr>
            </w:pPr>
          </w:p>
          <w:p>
            <w:pPr>
              <w:pStyle w:val="0"/>
              <w:rPr>
                <w:rFonts w:hint="default"/>
                <w:color w:val="auto"/>
              </w:rPr>
            </w:pPr>
          </w:p>
          <w:p>
            <w:pPr>
              <w:pStyle w:val="0"/>
              <w:rPr>
                <w:rFonts w:hint="default"/>
                <w:color w:val="auto"/>
              </w:rPr>
            </w:pPr>
          </w:p>
        </w:tc>
      </w:tr>
      <w:tr>
        <w:trPr>
          <w:trHeight w:val="3744" w:hRule="atLeast"/>
        </w:trPr>
        <w:tc>
          <w:tcPr>
            <w:tcW w:w="2640" w:type="dxa"/>
            <w:tcBorders>
              <w:top w:val="nil"/>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368" w:hanging="368" w:hangingChars="166"/>
              <w:rPr>
                <w:rFonts w:hint="default"/>
                <w:color w:val="auto"/>
              </w:rPr>
            </w:pPr>
            <w:r>
              <w:rPr>
                <w:rFonts w:hint="eastAsia" w:ascii="ＭＳ 明朝" w:hAnsi="ＭＳ 明朝"/>
                <w:color w:val="auto"/>
              </w:rPr>
              <w:t>(</w:t>
            </w:r>
            <w:r>
              <w:rPr>
                <w:rFonts w:hint="eastAsia" w:asciiTheme="minorEastAsia" w:hAnsiTheme="minorEastAsia" w:eastAsiaTheme="minorEastAsia"/>
                <w:color w:val="auto"/>
              </w:rPr>
              <w:t>4</w:t>
            </w:r>
            <w:r>
              <w:rPr>
                <w:rFonts w:hint="eastAsia" w:ascii="ＭＳ 明朝" w:hAnsi="ＭＳ 明朝"/>
                <w:color w:val="auto"/>
              </w:rPr>
              <w:t>)</w:t>
            </w:r>
            <w:r>
              <w:rPr>
                <w:rFonts w:hint="eastAsia"/>
                <w:color w:val="auto"/>
              </w:rPr>
              <w:t>主伐後の再造林の確　</w:t>
            </w:r>
            <w:r>
              <w:rPr>
                <w:rFonts w:hint="eastAsia"/>
                <w:color w:val="auto"/>
                <w:spacing w:val="-2"/>
              </w:rPr>
              <w:t xml:space="preserve"> </w:t>
            </w:r>
            <w:r>
              <w:rPr>
                <w:rFonts w:hint="eastAsia"/>
                <w:color w:val="auto"/>
              </w:rPr>
              <w:t>保</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4440"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以下の両方に該当すること。</w:t>
            </w:r>
          </w:p>
          <w:p>
            <w:pPr>
              <w:pStyle w:val="0"/>
              <w:ind w:left="221" w:hanging="221" w:hangingChars="100"/>
              <w:rPr>
                <w:rFonts w:hint="default"/>
                <w:color w:val="auto"/>
              </w:rPr>
            </w:pPr>
          </w:p>
          <w:p>
            <w:pPr>
              <w:pStyle w:val="0"/>
              <w:ind w:left="221" w:hanging="221" w:hangingChars="100"/>
              <w:rPr>
                <w:rFonts w:hint="default"/>
                <w:color w:val="auto"/>
              </w:rPr>
            </w:pPr>
            <w:r>
              <w:rPr>
                <w:rFonts w:hint="eastAsia"/>
                <w:color w:val="auto"/>
              </w:rPr>
              <w:t>①主伐及び主伐後の再造林を一体的に実施する体制を有すること。又は今後一体的に実施する体制を確保する意向を明らかにすること。</w:t>
            </w:r>
          </w:p>
          <w:p>
            <w:pPr>
              <w:pStyle w:val="0"/>
              <w:ind w:left="221" w:hanging="221" w:hangingChars="100"/>
              <w:rPr>
                <w:rFonts w:hint="default"/>
                <w:color w:val="auto"/>
              </w:rPr>
            </w:pPr>
          </w:p>
          <w:p>
            <w:pPr>
              <w:pStyle w:val="0"/>
              <w:ind w:left="221" w:hanging="221" w:hangingChars="100"/>
              <w:rPr>
                <w:rFonts w:hint="default"/>
                <w:color w:val="auto"/>
              </w:rPr>
            </w:pPr>
            <w:r>
              <w:rPr>
                <w:rFonts w:hint="eastAsia"/>
                <w:color w:val="auto"/>
              </w:rPr>
              <w:t>②主伐後に適切な更新を行うこと。ただし、他者の所有する森林の主伐にあっては、事前に森林所有者に対する適切な更新の働きかけに取り組んでいること。又は今後取り組む意向を明らかにすること。</w:t>
            </w:r>
          </w:p>
          <w:p>
            <w:pPr>
              <w:pStyle w:val="0"/>
              <w:rPr>
                <w:rFonts w:hint="default"/>
                <w:color w:val="auto"/>
              </w:rPr>
            </w:pPr>
            <w:r>
              <w:rPr>
                <w:rFonts w:hint="eastAsia"/>
                <w:color w:val="auto"/>
                <w:spacing w:val="-2"/>
              </w:rPr>
              <w:t xml:space="preserve">  </w:t>
            </w:r>
            <w:r>
              <w:rPr>
                <w:rFonts w:hint="eastAsia"/>
                <w:color w:val="auto"/>
              </w:rPr>
              <w:t>素材生産又は造林・保育に関して１年以上の事業実績を有すること、又は所属する現場作業職員の現場従事実績等が１年以上であること。</w:t>
            </w:r>
          </w:p>
          <w:p>
            <w:pPr>
              <w:pStyle w:val="0"/>
              <w:rPr>
                <w:rFonts w:hint="default"/>
                <w:color w:val="auto"/>
              </w:rPr>
            </w:pPr>
            <w:r>
              <w:rPr>
                <w:rFonts w:hint="eastAsia"/>
                <w:color w:val="auto"/>
                <w:spacing w:val="-2"/>
              </w:rPr>
              <w:t xml:space="preserve">  </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93" w:firstLineChars="42"/>
              <w:rPr>
                <w:rFonts w:hint="default"/>
                <w:color w:val="auto"/>
              </w:rPr>
            </w:pPr>
          </w:p>
          <w:p>
            <w:pPr>
              <w:pStyle w:val="0"/>
              <w:ind w:firstLine="93" w:firstLineChars="42"/>
              <w:rPr>
                <w:rFonts w:hint="default"/>
                <w:color w:val="auto"/>
              </w:rPr>
            </w:pPr>
            <w:r>
              <w:rPr>
                <w:rFonts w:hint="eastAsia"/>
                <w:color w:val="auto"/>
              </w:rPr>
              <w:t>適・否</w:t>
            </w:r>
          </w:p>
        </w:tc>
      </w:tr>
      <w:tr>
        <w:trPr>
          <w:trHeight w:val="1455" w:hRule="atLeast"/>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368" w:hanging="368" w:hangingChars="166"/>
              <w:rPr>
                <w:rFonts w:hint="default"/>
                <w:color w:val="auto"/>
              </w:rPr>
            </w:pPr>
            <w:r>
              <w:rPr>
                <w:rFonts w:hint="eastAsia" w:ascii="ＭＳ 明朝" w:hAnsi="ＭＳ 明朝"/>
                <w:color w:val="auto"/>
              </w:rPr>
              <w:t>(5)</w:t>
            </w:r>
            <w:r>
              <w:rPr>
                <w:rFonts w:hint="eastAsia"/>
                <w:color w:val="auto"/>
              </w:rPr>
              <w:t>生産や造林・保育の　</w:t>
            </w:r>
            <w:r>
              <w:rPr>
                <w:rFonts w:hint="eastAsia"/>
                <w:color w:val="auto"/>
                <w:spacing w:val="-2"/>
              </w:rPr>
              <w:t xml:space="preserve"> </w:t>
            </w:r>
            <w:r>
              <w:rPr>
                <w:rFonts w:hint="eastAsia"/>
                <w:color w:val="auto"/>
              </w:rPr>
              <w:t>実施体制の確保</w:t>
            </w:r>
          </w:p>
          <w:p>
            <w:pPr>
              <w:pStyle w:val="0"/>
              <w:rPr>
                <w:rFonts w:hint="default"/>
                <w:color w:val="auto"/>
              </w:rPr>
            </w:pPr>
          </w:p>
          <w:p>
            <w:pPr>
              <w:pStyle w:val="0"/>
              <w:rPr>
                <w:rFonts w:hint="default"/>
                <w:color w:val="auto"/>
              </w:rPr>
            </w:pPr>
          </w:p>
          <w:p>
            <w:pPr>
              <w:pStyle w:val="0"/>
              <w:rPr>
                <w:rFonts w:hint="default"/>
                <w:color w:val="auto"/>
              </w:rPr>
            </w:pPr>
          </w:p>
        </w:tc>
        <w:tc>
          <w:tcPr>
            <w:tcW w:w="4440"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93" w:firstLineChars="42"/>
              <w:rPr>
                <w:rFonts w:hint="default"/>
                <w:color w:val="auto"/>
              </w:rPr>
            </w:pPr>
          </w:p>
          <w:p>
            <w:pPr>
              <w:pStyle w:val="0"/>
              <w:ind w:firstLine="93" w:firstLineChars="42"/>
              <w:rPr>
                <w:rFonts w:hint="default"/>
                <w:color w:val="auto"/>
              </w:rPr>
            </w:pPr>
            <w:r>
              <w:rPr>
                <w:rFonts w:hint="eastAsia"/>
                <w:color w:val="auto"/>
              </w:rPr>
              <w:t>適・否</w:t>
            </w:r>
          </w:p>
        </w:tc>
      </w:tr>
      <w:tr>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368" w:hanging="368" w:hangingChars="166"/>
              <w:rPr>
                <w:rFonts w:hint="default"/>
                <w:color w:val="auto"/>
              </w:rPr>
            </w:pPr>
            <w:r>
              <w:rPr>
                <w:rFonts w:hint="eastAsia" w:ascii="ＭＳ 明朝" w:hAnsi="ＭＳ 明朝"/>
                <w:color w:val="auto"/>
              </w:rPr>
              <w:t>(6)</w:t>
            </w:r>
            <w:r>
              <w:rPr>
                <w:rFonts w:hint="eastAsia" w:ascii="ＭＳ 明朝" w:hAnsi="ＭＳ 明朝"/>
                <w:color w:val="auto"/>
              </w:rPr>
              <w:t>伐採・造林に関する行動規範の策定等</w:t>
            </w:r>
          </w:p>
          <w:p>
            <w:pPr>
              <w:pStyle w:val="0"/>
              <w:rPr>
                <w:rFonts w:hint="default"/>
                <w:color w:val="auto"/>
              </w:rPr>
            </w:pPr>
          </w:p>
          <w:p>
            <w:pPr>
              <w:pStyle w:val="0"/>
              <w:rPr>
                <w:rFonts w:hint="default"/>
                <w:color w:val="auto"/>
              </w:rPr>
            </w:pPr>
          </w:p>
          <w:p>
            <w:pPr>
              <w:pStyle w:val="0"/>
              <w:rPr>
                <w:rFonts w:hint="default"/>
                <w:color w:val="auto"/>
              </w:rPr>
            </w:pP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伐採と造林の一体的かつ適切な実施に向けて林業経営体が遵守すべき行動規範の策定等を行っていること。</w:t>
            </w:r>
          </w:p>
          <w:p>
            <w:pPr>
              <w:pStyle w:val="0"/>
              <w:rPr>
                <w:rFonts w:hint="default"/>
                <w:color w:val="auto"/>
              </w:rPr>
            </w:pPr>
            <w:r>
              <w:rPr>
                <w:rFonts w:hint="eastAsia"/>
                <w:color w:val="auto"/>
                <w:spacing w:val="-2"/>
              </w:rPr>
              <w:t xml:space="preserve">  </w:t>
            </w:r>
            <w:r>
              <w:rPr>
                <w:rFonts w:hint="eastAsia"/>
                <w:color w:val="auto"/>
              </w:rPr>
              <w:t>又は今後行う意向を明らかにすること。</w:t>
            </w:r>
          </w:p>
          <w:p>
            <w:pPr>
              <w:pStyle w:val="0"/>
              <w:rPr>
                <w:rFonts w:hint="default"/>
                <w:color w:val="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93" w:firstLineChars="42"/>
              <w:rPr>
                <w:rFonts w:hint="default"/>
                <w:color w:val="auto"/>
              </w:rPr>
            </w:pPr>
          </w:p>
          <w:p>
            <w:pPr>
              <w:pStyle w:val="0"/>
              <w:ind w:firstLine="93" w:firstLineChars="42"/>
              <w:rPr>
                <w:rFonts w:hint="default"/>
                <w:color w:val="auto"/>
              </w:rPr>
            </w:pPr>
            <w:r>
              <w:rPr>
                <w:rFonts w:hint="eastAsia"/>
                <w:color w:val="auto"/>
              </w:rPr>
              <w:t>適・否</w:t>
            </w:r>
          </w:p>
        </w:tc>
      </w:tr>
      <w:tr>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368" w:hanging="368" w:hangingChars="166"/>
              <w:rPr>
                <w:rFonts w:hint="default"/>
                <w:color w:val="auto"/>
              </w:rPr>
            </w:pPr>
            <w:r>
              <w:rPr>
                <w:rFonts w:hint="eastAsia" w:ascii="ＭＳ 明朝" w:hAnsi="ＭＳ 明朝"/>
                <w:color w:val="auto"/>
              </w:rPr>
              <w:t>(</w:t>
            </w:r>
            <w:r>
              <w:rPr>
                <w:rFonts w:hint="eastAsia" w:asciiTheme="minorEastAsia" w:hAnsiTheme="minorEastAsia" w:eastAsiaTheme="minorEastAsia"/>
                <w:color w:val="auto"/>
              </w:rPr>
              <w:t>7</w:t>
            </w:r>
            <w:r>
              <w:rPr>
                <w:rFonts w:hint="eastAsia" w:ascii="ＭＳ 明朝" w:hAnsi="ＭＳ 明朝"/>
                <w:color w:val="auto"/>
              </w:rPr>
              <w:t>)</w:t>
            </w:r>
            <w:r>
              <w:rPr>
                <w:rFonts w:hint="eastAsia"/>
                <w:color w:val="auto"/>
              </w:rPr>
              <w:t>雇用管理の改善及び　</w:t>
            </w:r>
            <w:r>
              <w:rPr>
                <w:rFonts w:hint="eastAsia"/>
                <w:color w:val="auto"/>
                <w:spacing w:val="-2"/>
              </w:rPr>
              <w:t xml:space="preserve"> </w:t>
            </w:r>
            <w:r>
              <w:rPr>
                <w:rFonts w:hint="eastAsia"/>
                <w:color w:val="auto"/>
              </w:rPr>
              <w:t>労働安全対策</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spacing w:val="-2"/>
              </w:rPr>
              <w:t xml:space="preserve">  </w:t>
            </w:r>
            <w:r>
              <w:rPr>
                <w:rFonts w:hint="eastAsia"/>
                <w:color w:val="auto"/>
              </w:rPr>
              <w:t>林業労働力の確保の促進に関する法律第４条に基づく県の基本計画に定められた労働環境の改善その他の雇用管理の改善を促進するための措置に係る取組若しくはこれに準ずる取組を行っていること。又は今後取り組む意向を明らかにすること。　</w:t>
            </w:r>
          </w:p>
          <w:p>
            <w:pPr>
              <w:pStyle w:val="0"/>
              <w:ind w:left="221" w:hanging="221" w:hangingChars="100"/>
              <w:rPr>
                <w:rFonts w:hint="default"/>
                <w:color w:val="auto"/>
              </w:rPr>
            </w:pPr>
          </w:p>
          <w:p>
            <w:pPr>
              <w:pStyle w:val="0"/>
              <w:rPr>
                <w:rFonts w:hint="default"/>
                <w:color w:val="auto"/>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93" w:firstLineChars="42"/>
              <w:rPr>
                <w:rFonts w:hint="default"/>
                <w:color w:val="auto"/>
              </w:rPr>
            </w:pPr>
          </w:p>
          <w:p>
            <w:pPr>
              <w:pStyle w:val="0"/>
              <w:ind w:firstLine="93" w:firstLineChars="42"/>
              <w:rPr>
                <w:rFonts w:hint="default"/>
                <w:color w:val="auto"/>
              </w:rPr>
            </w:pPr>
            <w:r>
              <w:rPr>
                <w:rFonts w:hint="eastAsia"/>
                <w:color w:val="auto"/>
              </w:rPr>
              <w:t>適・否</w:t>
            </w:r>
          </w:p>
        </w:tc>
      </w:tr>
      <w:tr>
        <w:trPr/>
        <w:tc>
          <w:tcPr>
            <w:tcW w:w="26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left="368" w:hanging="368" w:hangingChars="166"/>
              <w:rPr>
                <w:rFonts w:hint="default"/>
                <w:color w:val="auto"/>
              </w:rPr>
            </w:pPr>
            <w:r>
              <w:rPr>
                <w:rFonts w:hint="eastAsia" w:ascii="ＭＳ 明朝" w:hAnsi="ＭＳ 明朝"/>
                <w:color w:val="auto"/>
              </w:rPr>
              <w:t>(8)</w:t>
            </w:r>
            <w:r>
              <w:rPr>
                <w:rFonts w:hint="eastAsia"/>
                <w:color w:val="auto"/>
              </w:rPr>
              <w:t>コンプライアンスの　</w:t>
            </w:r>
            <w:r>
              <w:rPr>
                <w:rFonts w:hint="eastAsia"/>
                <w:color w:val="auto"/>
                <w:spacing w:val="-2"/>
              </w:rPr>
              <w:t xml:space="preserve"> </w:t>
            </w:r>
            <w:r>
              <w:rPr>
                <w:rFonts w:hint="eastAsia"/>
                <w:color w:val="auto"/>
              </w:rPr>
              <w:t>確保</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c>
          <w:tcPr>
            <w:tcW w:w="44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color w:val="auto"/>
              </w:rPr>
            </w:pPr>
            <w:r>
              <w:rPr>
                <w:rFonts w:hint="eastAsia"/>
                <w:color w:val="auto"/>
              </w:rPr>
              <w:t>　以下のいずれにも該当しないこと。</w:t>
            </w:r>
          </w:p>
          <w:p>
            <w:pPr>
              <w:pStyle w:val="0"/>
              <w:ind w:left="221" w:hanging="221" w:hangingChars="100"/>
              <w:rPr>
                <w:rFonts w:hint="default"/>
                <w:color w:val="auto"/>
              </w:rPr>
            </w:pPr>
          </w:p>
          <w:p>
            <w:pPr>
              <w:pStyle w:val="0"/>
              <w:ind w:left="221" w:hanging="221"/>
              <w:rPr>
                <w:rFonts w:hint="default"/>
                <w:color w:val="auto"/>
              </w:rPr>
            </w:pPr>
            <w:r>
              <w:rPr>
                <w:rFonts w:hint="eastAsia"/>
                <w:color w:val="auto"/>
              </w:rPr>
              <w:t>①業務に関連して法令に違反し、代表役員等や一般役員等が逮捕され、又は逮捕を経ないで公訴を提起されたときから１年間を経過していない者</w:t>
            </w:r>
          </w:p>
          <w:p>
            <w:pPr>
              <w:pStyle w:val="0"/>
              <w:ind w:left="221" w:hanging="221" w:hangingChars="100"/>
              <w:rPr>
                <w:rFonts w:hint="default"/>
                <w:color w:val="auto"/>
              </w:rPr>
            </w:pPr>
          </w:p>
          <w:p>
            <w:pPr>
              <w:pStyle w:val="0"/>
              <w:ind w:left="221" w:hanging="221" w:hangingChars="100"/>
              <w:rPr>
                <w:rFonts w:hint="default"/>
                <w:color w:val="auto"/>
              </w:rPr>
            </w:pPr>
            <w:r>
              <w:rPr>
                <w:rFonts w:hint="eastAsia"/>
                <w:color w:val="auto"/>
              </w:rPr>
              <w:t>②業務に関連して法令に違反し、事案が重大・悪質な場合であって再発防止に向けた取組が確実に行われると認められない者</w:t>
            </w:r>
          </w:p>
          <w:p>
            <w:pPr>
              <w:pStyle w:val="0"/>
              <w:ind w:left="221" w:hanging="221" w:hangingChars="100"/>
              <w:rPr>
                <w:rFonts w:hint="default"/>
                <w:color w:val="auto"/>
              </w:rPr>
            </w:pPr>
          </w:p>
          <w:p>
            <w:pPr>
              <w:pStyle w:val="0"/>
              <w:ind w:left="221" w:hanging="221" w:hangingChars="100"/>
              <w:rPr>
                <w:rFonts w:hint="default"/>
                <w:color w:val="auto"/>
              </w:rPr>
            </w:pPr>
            <w:r>
              <w:rPr>
                <w:rFonts w:hint="eastAsia"/>
                <w:color w:val="auto"/>
              </w:rPr>
              <w:t>③国、県又は市町村から入札参加資格の指名停止を受けている者</w:t>
            </w:r>
          </w:p>
          <w:p>
            <w:pPr>
              <w:pStyle w:val="0"/>
              <w:ind w:left="221" w:hanging="221" w:hangingChars="100"/>
              <w:rPr>
                <w:rFonts w:hint="default"/>
                <w:color w:val="auto"/>
              </w:rPr>
            </w:pPr>
          </w:p>
          <w:p>
            <w:pPr>
              <w:pStyle w:val="0"/>
              <w:ind w:left="221" w:hanging="221" w:hangingChars="100"/>
              <w:rPr>
                <w:rFonts w:hint="default"/>
                <w:color w:val="auto"/>
              </w:rPr>
            </w:pPr>
            <w:bookmarkStart w:id="0" w:name="_GoBack"/>
            <w:bookmarkEnd w:id="0"/>
            <w:r>
              <w:rPr>
                <w:rFonts w:hint="eastAsia"/>
                <w:color w:val="auto"/>
              </w:rPr>
              <w:t>④</w:t>
            </w:r>
            <w:r>
              <w:rPr>
                <w:rFonts w:hint="eastAsia" w:ascii="ＭＳ 明朝" w:hAnsi="ＭＳ 明朝"/>
                <w:color w:val="auto"/>
              </w:rPr>
              <w:t>(6)</w:t>
            </w:r>
            <w:r>
              <w:rPr>
                <w:rFonts w:hint="eastAsia"/>
                <w:color w:val="auto"/>
              </w:rPr>
              <w:t>の行動規範やガイドライン等に違反した行為をしたと認められる者</w:t>
            </w:r>
          </w:p>
          <w:p>
            <w:pPr>
              <w:pStyle w:val="0"/>
              <w:ind w:left="221" w:hanging="221" w:hangingChars="100"/>
              <w:rPr>
                <w:rFonts w:hint="default"/>
                <w:color w:val="auto"/>
              </w:rPr>
            </w:pPr>
          </w:p>
          <w:p>
            <w:pPr>
              <w:pStyle w:val="0"/>
              <w:ind w:left="221" w:hanging="221" w:hangingChars="100"/>
              <w:rPr>
                <w:rFonts w:hint="default"/>
                <w:color w:val="auto"/>
              </w:rPr>
            </w:pPr>
            <w:r>
              <w:rPr>
                <w:rFonts w:hint="eastAsia"/>
                <w:color w:val="auto"/>
              </w:rPr>
              <w:t>⑤その他森林の経営管理を適切に行うことができない又は森林の経営管理に関し不正若しくは不誠実な行為をするおそれがあると認めるに足りる相当の理由がある者</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ind w:firstLine="93" w:firstLineChars="42"/>
              <w:rPr>
                <w:rFonts w:hint="default"/>
                <w:color w:val="auto"/>
              </w:rPr>
            </w:pPr>
          </w:p>
          <w:p>
            <w:pPr>
              <w:pStyle w:val="0"/>
              <w:ind w:firstLine="93" w:firstLineChars="42"/>
              <w:rPr>
                <w:rFonts w:hint="default"/>
                <w:color w:val="auto"/>
              </w:rPr>
            </w:pPr>
            <w:r>
              <w:rPr>
                <w:rFonts w:hint="eastAsia"/>
                <w:color w:val="auto"/>
              </w:rPr>
              <w:t>適・否</w:t>
            </w:r>
          </w:p>
        </w:tc>
      </w:tr>
      <w:tr>
        <w:trPr>
          <w:trHeight w:val="35" w:hRule="atLeast"/>
        </w:trPr>
        <w:tc>
          <w:tcPr>
            <w:tcW w:w="2640" w:type="dxa"/>
            <w:vMerge w:val="restart"/>
            <w:tcBorders>
              <w:top w:val="single" w:color="000000" w:sz="4" w:space="0"/>
              <w:left w:val="nil"/>
              <w:bottom w:val="nil"/>
              <w:right w:val="nil"/>
              <w:tl2br w:val="none" w:color="auto" w:sz="0" w:space="0"/>
              <w:tr2bl w:val="none" w:color="auto" w:sz="0" w:space="0"/>
            </w:tcBorders>
            <w:tcMar>
              <w:left w:w="49" w:type="dxa"/>
              <w:right w:w="49" w:type="dxa"/>
            </w:tcMar>
            <w:vAlign w:val="top"/>
          </w:tcPr>
          <w:p>
            <w:pPr>
              <w:pStyle w:val="0"/>
              <w:rPr>
                <w:rFonts w:hint="default"/>
                <w:strike w:val="0"/>
                <w:dstrike w:val="1"/>
                <w:color w:val="auto"/>
              </w:rPr>
            </w:pPr>
          </w:p>
        </w:tc>
        <w:tc>
          <w:tcPr>
            <w:tcW w:w="5574" w:type="dxa"/>
            <w:gridSpan w:val="2"/>
            <w:tcBorders>
              <w:top w:val="single" w:color="000000" w:sz="4" w:space="0"/>
              <w:left w:val="nil"/>
              <w:bottom w:val="nil"/>
              <w:right w:val="nil"/>
              <w:tl2br w:val="none" w:color="auto" w:sz="0" w:space="0"/>
              <w:tr2bl w:val="none" w:color="auto" w:sz="0" w:space="0"/>
            </w:tcBorders>
            <w:tcMar>
              <w:left w:w="49" w:type="dxa"/>
              <w:right w:w="49" w:type="dxa"/>
            </w:tcMar>
            <w:vAlign w:val="top"/>
          </w:tcPr>
          <w:p>
            <w:pPr>
              <w:pStyle w:val="0"/>
              <w:rPr>
                <w:rFonts w:hint="default"/>
                <w:strike w:val="0"/>
                <w:dstrike w:val="1"/>
                <w:color w:val="auto"/>
              </w:rPr>
            </w:pPr>
          </w:p>
        </w:tc>
      </w:tr>
    </w:tbl>
    <w:p>
      <w:pPr>
        <w:pStyle w:val="0"/>
        <w:rPr>
          <w:rFonts w:hint="default"/>
        </w:rPr>
      </w:pPr>
    </w:p>
    <w:p>
      <w:pPr>
        <w:pStyle w:val="0"/>
        <w:rPr>
          <w:rFonts w:hint="default"/>
        </w:rPr>
      </w:pPr>
    </w:p>
    <w:p>
      <w:pPr>
        <w:pStyle w:val="0"/>
        <w:rPr>
          <w:rFonts w:hint="default"/>
        </w:rPr>
      </w:pPr>
      <w:r>
        <w:rPr>
          <w:rFonts w:hint="eastAsia"/>
        </w:rPr>
        <w:t>このことについて、上記のとおり確認しました。</w:t>
      </w:r>
    </w:p>
    <w:p>
      <w:pPr>
        <w:pStyle w:val="0"/>
        <w:rPr>
          <w:rFonts w:hint="default"/>
        </w:rPr>
      </w:pPr>
    </w:p>
    <w:p>
      <w:pPr>
        <w:pStyle w:val="0"/>
        <w:ind w:firstLine="443" w:firstLineChars="200"/>
        <w:rPr>
          <w:rFonts w:hint="default"/>
        </w:rPr>
      </w:pPr>
      <w:r>
        <w:rPr>
          <w:rFonts w:hint="eastAsia"/>
        </w:rPr>
        <w:t>年　月　日　　　　　　　　　地域振興局長</w:t>
      </w:r>
    </w:p>
    <w:sectPr>
      <w:footerReference r:id="rId5" w:type="even"/>
      <w:footerReference r:id="rId6" w:type="default"/>
      <w:footnotePr>
        <w:numRestart w:val="eachPage"/>
      </w:footnotePr>
      <w:endnotePr>
        <w:numFmt w:val="decimal"/>
      </w:endnotePr>
      <w:pgSz w:w="11906" w:h="16838"/>
      <w:pgMar w:top="-1134" w:right="850" w:bottom="1134" w:left="1134" w:header="1134" w:footer="850" w:gutter="0"/>
      <w:cols w:space="720"/>
      <w:textDirection w:val="lrTb"/>
      <w:docGrid w:type="linesAndChars" w:linePitch="291" w:charSpace="2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5742"/>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82"/>
  <w:hyphenationZone w:val="0"/>
  <w:drawingGridHorizontalSpacing w:val="389"/>
  <w:drawingGridVerticalSpacing w:val="29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脚注(標準)"/>
    <w:next w:val="15"/>
    <w:link w:val="0"/>
    <w:uiPriority w:val="0"/>
    <w:rPr>
      <w:vertAlign w:val="superscript"/>
    </w:rPr>
  </w:style>
  <w:style w:type="character" w:styleId="16" w:customStyle="1">
    <w:name w:val="脚注ｴﾘｱ(標準)"/>
    <w:basedOn w:val="10"/>
    <w:next w:val="16"/>
    <w:link w:val="0"/>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color w:val="000000"/>
      <w:sz w:val="18"/>
    </w:rPr>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116</TotalTime>
  <Pages>3</Pages>
  <Words>14</Words>
  <Characters>1857</Characters>
  <Application>JUST Note</Application>
  <Lines>273</Lines>
  <Paragraphs>67</Paragraphs>
  <CharactersWithSpaces>1934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akita</dc:creator>
  <cp:lastModifiedBy>永井　秀樹</cp:lastModifiedBy>
  <cp:lastPrinted>2020-02-05T08:20:00Z</cp:lastPrinted>
  <dcterms:created xsi:type="dcterms:W3CDTF">2019-04-14T05:12:00Z</dcterms:created>
  <dcterms:modified xsi:type="dcterms:W3CDTF">2020-02-05T08:37:34Z</dcterms:modified>
  <cp:revision>13</cp:revision>
</cp:coreProperties>
</file>