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</w:t>
      </w:r>
      <w:r>
        <w:rPr>
          <w:rFonts w:hint="eastAsia" w:ascii="ＭＳ 明朝" w:hAnsi="ＭＳ 明朝" w:eastAsia="ＭＳ 明朝"/>
          <w:color w:val="000000"/>
          <w:sz w:val="24"/>
        </w:rPr>
        <w:t>秋田県北部家畜保健衛生所長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秋田県北部家畜保健衛生所庁舎清掃業務委託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75</Characters>
  <Application>JUST Note</Application>
  <Lines>22</Lines>
  <Paragraphs>10</Paragraphs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久米　祐也</dc:creator>
  <cp:lastModifiedBy>安保　富徳</cp:lastModifiedBy>
  <cp:lastPrinted>2021-03-29T08:59:29Z</cp:lastPrinted>
  <dcterms:created xsi:type="dcterms:W3CDTF">2021-03-29T07:58:00Z</dcterms:created>
  <dcterms:modified xsi:type="dcterms:W3CDTF">2024-02-01T02:12:08Z</dcterms:modified>
  <cp:revision>2</cp:revision>
</cp:coreProperties>
</file>