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48DC" w14:textId="77777777" w:rsidR="007C5A3C" w:rsidRPr="007C5A3C" w:rsidRDefault="007C5A3C" w:rsidP="00AB250B">
      <w:pPr>
        <w:contextualSpacing/>
        <w:jc w:val="center"/>
        <w:rPr>
          <w:rFonts w:ascii="ＭＳ 明朝" w:hAnsi="ＭＳ 明朝"/>
          <w:sz w:val="24"/>
        </w:rPr>
      </w:pPr>
      <w:r w:rsidRPr="007C5A3C">
        <w:rPr>
          <w:rFonts w:ascii="ＭＳ 明朝" w:hAnsi="ＭＳ 明朝" w:hint="eastAsia"/>
          <w:sz w:val="24"/>
        </w:rPr>
        <w:t>秋田県営繕工事における入札時積算数量書活用方式実施要領</w:t>
      </w:r>
    </w:p>
    <w:p w14:paraId="72770286" w14:textId="77777777" w:rsidR="007C5A3C" w:rsidRPr="007C5A3C" w:rsidRDefault="007C5A3C" w:rsidP="007C5A3C">
      <w:pPr>
        <w:contextualSpacing/>
        <w:rPr>
          <w:rFonts w:ascii="ＭＳ 明朝" w:hAnsi="ＭＳ 明朝"/>
          <w:sz w:val="24"/>
        </w:rPr>
      </w:pPr>
    </w:p>
    <w:p w14:paraId="5AA8D061"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（目的）</w:t>
      </w:r>
    </w:p>
    <w:p w14:paraId="073CFC02" w14:textId="2D14C877" w:rsidR="007C5A3C" w:rsidRDefault="007C5A3C" w:rsidP="007C5A3C">
      <w:pPr>
        <w:ind w:left="480" w:hangingChars="200" w:hanging="480"/>
        <w:contextualSpacing/>
        <w:rPr>
          <w:rFonts w:ascii="ＭＳ 明朝" w:hAnsi="ＭＳ 明朝"/>
          <w:sz w:val="24"/>
        </w:rPr>
      </w:pPr>
      <w:r w:rsidRPr="007C5A3C">
        <w:rPr>
          <w:rFonts w:ascii="ＭＳ 明朝" w:hAnsi="ＭＳ 明朝" w:hint="eastAsia"/>
          <w:sz w:val="24"/>
        </w:rPr>
        <w:t>第１　入札時積算数量書活用方式は、秋田県が発注する営繕工事の請負契約締結後における積算数量に関する協議の円滑化に資するため、入札時において発注者が入札時積算数量書を示し、入札参加者が入札時積算数量書に記載された積算数量を活用して入札に参加することを通じ、工事請負契約の締結後において、当該積算数量に疑義が生じた場合に、入札時積算数量書に基づき、積算数量に関する協議を行うこととする方式である。</w:t>
      </w:r>
    </w:p>
    <w:p w14:paraId="3BF3E7CF" w14:textId="77777777" w:rsidR="007C5A3C" w:rsidRPr="007C5A3C" w:rsidRDefault="007C5A3C" w:rsidP="007C5A3C">
      <w:pPr>
        <w:contextualSpacing/>
        <w:rPr>
          <w:rFonts w:ascii="ＭＳ 明朝" w:hAnsi="ＭＳ 明朝"/>
          <w:sz w:val="24"/>
        </w:rPr>
      </w:pPr>
    </w:p>
    <w:p w14:paraId="499C83F6"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（用語の定義）</w:t>
      </w:r>
    </w:p>
    <w:p w14:paraId="147F46CB" w14:textId="77777777" w:rsidR="007C5A3C" w:rsidRPr="007C5A3C" w:rsidRDefault="007C5A3C" w:rsidP="007C5A3C">
      <w:pPr>
        <w:ind w:left="480" w:hangingChars="200" w:hanging="480"/>
        <w:contextualSpacing/>
        <w:rPr>
          <w:rFonts w:ascii="ＭＳ 明朝" w:hAnsi="ＭＳ 明朝"/>
          <w:sz w:val="24"/>
        </w:rPr>
      </w:pPr>
      <w:r w:rsidRPr="007C5A3C">
        <w:rPr>
          <w:rFonts w:ascii="ＭＳ 明朝" w:hAnsi="ＭＳ 明朝" w:hint="eastAsia"/>
          <w:sz w:val="24"/>
        </w:rPr>
        <w:t>第２　この要領において「数量基準」とは、秋田県営繕工事積算基準　４（３）に定める「公共建築数量積算基準」及び「公共建築設備数量積算基準」をいう。</w:t>
      </w:r>
    </w:p>
    <w:p w14:paraId="71CB85BA" w14:textId="77777777"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２　この要領において「積算数量」とは、工事費を算出するために必要となる数量について、数量基準に基づき発注者が算出した数量をいう。</w:t>
      </w:r>
    </w:p>
    <w:p w14:paraId="27D62250" w14:textId="77777777"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３　この要領において「入札時積算数量書」とは、発注者が入札時において積算数量として、秋田県営繕工事積算基準第３に定める「公共建築工事内訳書標準書式」に基づき作成した種目別内訳、科目別内訳、中科目別内訳及び細目別内訳の名称、数量及び単位を取りまとめて示す書面（電磁的記録に記録されたものを含む。）をいう。</w:t>
      </w:r>
    </w:p>
    <w:p w14:paraId="5CEF26B6" w14:textId="77777777"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４　この要領において「見積内訳明細書」とは、「入札時における見積内訳明細書の取扱要領」（平成２７年３月２日建政－１９００）及び「営繕工事の入札時における見積内訳明細書の様式について」に基づき、第１回の入札において入札参加者から提出される見積内訳明細書をいう。</w:t>
      </w:r>
    </w:p>
    <w:p w14:paraId="5DACF12D" w14:textId="77777777"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５　この要領において「入札時積算数量書別紙明細」とは、入札時積算数量書の細目別内訳において数量を一式としている細目のうち、必要に応じて別途作成される当該細目の根拠となる名称、数量及び単位を取りまとめて示す書面（電磁的記録に記録されたものを含む）をいう。</w:t>
      </w:r>
    </w:p>
    <w:p w14:paraId="4EAD3C1D" w14:textId="77777777" w:rsidR="007C5A3C" w:rsidRPr="007C5A3C" w:rsidRDefault="007C5A3C" w:rsidP="007C5A3C">
      <w:pPr>
        <w:contextualSpacing/>
        <w:rPr>
          <w:rFonts w:ascii="ＭＳ 明朝" w:hAnsi="ＭＳ 明朝"/>
          <w:sz w:val="24"/>
        </w:rPr>
      </w:pPr>
    </w:p>
    <w:p w14:paraId="66E80C89"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（対象工事）</w:t>
      </w:r>
    </w:p>
    <w:p w14:paraId="6F35C21A" w14:textId="59C091FC" w:rsidR="007C5A3C" w:rsidRPr="007C5A3C" w:rsidRDefault="007C5A3C" w:rsidP="007C5A3C">
      <w:pPr>
        <w:ind w:left="480" w:hangingChars="200" w:hanging="480"/>
        <w:contextualSpacing/>
        <w:rPr>
          <w:rFonts w:ascii="ＭＳ 明朝" w:hAnsi="ＭＳ 明朝"/>
          <w:sz w:val="24"/>
        </w:rPr>
      </w:pPr>
      <w:r w:rsidRPr="007C5A3C">
        <w:rPr>
          <w:rFonts w:ascii="ＭＳ 明朝" w:hAnsi="ＭＳ 明朝" w:hint="eastAsia"/>
          <w:sz w:val="24"/>
        </w:rPr>
        <w:t>第３　原則として、秋田県が発注する営繕工事のうち、予定価格が４千万円以上（電気設備工事及び機械設備工事は予定価格が１千５百万円以上）の工事に適</w:t>
      </w:r>
      <w:r>
        <w:rPr>
          <w:rFonts w:ascii="ＭＳ 明朝" w:hAnsi="ＭＳ 明朝" w:hint="eastAsia"/>
          <w:sz w:val="24"/>
        </w:rPr>
        <w:t>用する</w:t>
      </w:r>
      <w:r w:rsidRPr="007C5A3C">
        <w:rPr>
          <w:rFonts w:ascii="ＭＳ 明朝" w:hAnsi="ＭＳ 明朝" w:hint="eastAsia"/>
          <w:sz w:val="24"/>
        </w:rPr>
        <w:t>。</w:t>
      </w:r>
    </w:p>
    <w:p w14:paraId="5BD85BA1" w14:textId="77777777" w:rsidR="007C5A3C" w:rsidRPr="007C5A3C" w:rsidRDefault="007C5A3C" w:rsidP="007C5A3C">
      <w:pPr>
        <w:contextualSpacing/>
        <w:rPr>
          <w:rFonts w:ascii="ＭＳ 明朝" w:hAnsi="ＭＳ 明朝"/>
          <w:sz w:val="24"/>
        </w:rPr>
      </w:pPr>
    </w:p>
    <w:p w14:paraId="16400CDA"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（対象工事である旨の明示等）</w:t>
      </w:r>
    </w:p>
    <w:p w14:paraId="3239C71C" w14:textId="77777777" w:rsidR="007C5A3C" w:rsidRPr="007C5A3C" w:rsidRDefault="007C5A3C" w:rsidP="007C5A3C">
      <w:pPr>
        <w:ind w:left="480" w:hangingChars="200" w:hanging="480"/>
        <w:contextualSpacing/>
        <w:rPr>
          <w:rFonts w:ascii="ＭＳ 明朝" w:hAnsi="ＭＳ 明朝"/>
          <w:sz w:val="24"/>
        </w:rPr>
      </w:pPr>
      <w:r w:rsidRPr="007C5A3C">
        <w:rPr>
          <w:rFonts w:ascii="ＭＳ 明朝" w:hAnsi="ＭＳ 明朝" w:hint="eastAsia"/>
          <w:sz w:val="24"/>
        </w:rPr>
        <w:t>第４　本方式の対象工事である旨の明示は、入札公告文への記載（電磁的記録を含む。）により行うものとする。</w:t>
      </w:r>
    </w:p>
    <w:p w14:paraId="6D9854B0" w14:textId="77777777" w:rsidR="007C5A3C" w:rsidRPr="007C5A3C" w:rsidRDefault="007C5A3C" w:rsidP="007C5A3C">
      <w:pPr>
        <w:ind w:left="480" w:hangingChars="200" w:hanging="480"/>
        <w:contextualSpacing/>
        <w:rPr>
          <w:rFonts w:ascii="ＭＳ 明朝" w:hAnsi="ＭＳ 明朝"/>
          <w:sz w:val="24"/>
        </w:rPr>
      </w:pPr>
      <w:r w:rsidRPr="007C5A3C">
        <w:rPr>
          <w:rFonts w:ascii="ＭＳ 明朝" w:hAnsi="ＭＳ 明朝" w:hint="eastAsia"/>
          <w:sz w:val="24"/>
        </w:rPr>
        <w:t xml:space="preserve">　　　なお、入札公告文には、入札時積算数量書活用方式の適用に関する説明資料として、入札時積算数量書活用方式説明書を添付するものとする。</w:t>
      </w:r>
    </w:p>
    <w:p w14:paraId="07F5C3C6" w14:textId="77777777" w:rsidR="007C5A3C" w:rsidRPr="007C5A3C" w:rsidRDefault="007C5A3C" w:rsidP="007C5A3C">
      <w:pPr>
        <w:contextualSpacing/>
        <w:rPr>
          <w:rFonts w:ascii="ＭＳ 明朝" w:hAnsi="ＭＳ 明朝"/>
          <w:sz w:val="24"/>
        </w:rPr>
      </w:pPr>
    </w:p>
    <w:p w14:paraId="735F703E" w14:textId="4BAD4597"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２　入札公告文（入札時積算数量書活用方式説明書を含む。以下同じ。）への記載内容は、別紙１の記載例を参考とする。</w:t>
      </w:r>
    </w:p>
    <w:p w14:paraId="2F61E2C0" w14:textId="77777777" w:rsidR="007C5A3C" w:rsidRPr="007C5A3C" w:rsidRDefault="007C5A3C" w:rsidP="007C5A3C">
      <w:pPr>
        <w:ind w:leftChars="200" w:left="420" w:firstLineChars="100" w:firstLine="240"/>
        <w:contextualSpacing/>
        <w:rPr>
          <w:rFonts w:ascii="ＭＳ 明朝" w:hAnsi="ＭＳ 明朝"/>
          <w:sz w:val="24"/>
        </w:rPr>
      </w:pPr>
      <w:r w:rsidRPr="007C5A3C">
        <w:rPr>
          <w:rFonts w:ascii="ＭＳ 明朝" w:hAnsi="ＭＳ 明朝" w:hint="eastAsia"/>
          <w:sz w:val="24"/>
        </w:rPr>
        <w:t>なお、入札時積算数量書及び入札時積算数量書別紙明細書には、別紙２を参考に「入札時積算数量書等説明書（表紙）」を添付するものとする。</w:t>
      </w:r>
    </w:p>
    <w:p w14:paraId="5944ACB3" w14:textId="77777777"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３　本方式を適用する工事においては、契約締結後において、入札時に発注者が示した積算数量に疑義が生じたときは、入札時積算数量書に基づき、積算数量に関する協議を行うこととなることを合意する。このため、工事請負契約書に添付する契約事項（以下「契約事項」という。）に別紙３に掲げる事項を記載するものとする。</w:t>
      </w:r>
    </w:p>
    <w:p w14:paraId="3AA23DC6" w14:textId="77777777" w:rsidR="007C5A3C" w:rsidRPr="007C5A3C" w:rsidRDefault="007C5A3C" w:rsidP="007C5A3C">
      <w:pPr>
        <w:ind w:leftChars="200" w:left="420" w:firstLineChars="100" w:firstLine="240"/>
        <w:contextualSpacing/>
        <w:rPr>
          <w:rFonts w:ascii="ＭＳ 明朝" w:hAnsi="ＭＳ 明朝"/>
          <w:sz w:val="24"/>
        </w:rPr>
      </w:pPr>
      <w:r w:rsidRPr="007C5A3C">
        <w:rPr>
          <w:rFonts w:ascii="ＭＳ 明朝" w:hAnsi="ＭＳ 明朝" w:hint="eastAsia"/>
          <w:sz w:val="24"/>
        </w:rPr>
        <w:t>なお、積算数量に関する協議の結果、請負代金額を変更するときは、契約事項第２４条に定めるところによるものとする。</w:t>
      </w:r>
    </w:p>
    <w:p w14:paraId="7D289A3C" w14:textId="77777777" w:rsidR="007C5A3C" w:rsidRPr="007C5A3C" w:rsidRDefault="007C5A3C" w:rsidP="007C5A3C">
      <w:pPr>
        <w:contextualSpacing/>
        <w:rPr>
          <w:rFonts w:ascii="ＭＳ 明朝" w:hAnsi="ＭＳ 明朝"/>
          <w:sz w:val="24"/>
        </w:rPr>
      </w:pPr>
    </w:p>
    <w:p w14:paraId="19B1F0AD"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（入札時積算数量書活用方式の実施手続）</w:t>
      </w:r>
    </w:p>
    <w:p w14:paraId="5A6AE082"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第５　入札時積算数量書は、入札公告において閲覧等を行うものとする。</w:t>
      </w:r>
    </w:p>
    <w:p w14:paraId="0E11929B" w14:textId="77777777" w:rsidR="007C5A3C" w:rsidRDefault="007C5A3C" w:rsidP="007C5A3C">
      <w:pPr>
        <w:ind w:firstLineChars="300" w:firstLine="720"/>
        <w:contextualSpacing/>
        <w:rPr>
          <w:rFonts w:ascii="ＭＳ 明朝" w:hAnsi="ＭＳ 明朝"/>
          <w:sz w:val="24"/>
        </w:rPr>
      </w:pPr>
      <w:r w:rsidRPr="007C5A3C">
        <w:rPr>
          <w:rFonts w:ascii="ＭＳ 明朝" w:hAnsi="ＭＳ 明朝" w:hint="eastAsia"/>
          <w:sz w:val="24"/>
        </w:rPr>
        <w:t>入札時積算数量書に記載された積算数量については、入札時積算数量書に</w:t>
      </w:r>
    </w:p>
    <w:p w14:paraId="6DD0D104" w14:textId="515391EA" w:rsidR="007C5A3C" w:rsidRPr="007C5A3C" w:rsidRDefault="007C5A3C" w:rsidP="007C5A3C">
      <w:pPr>
        <w:ind w:leftChars="200" w:left="420"/>
        <w:contextualSpacing/>
        <w:rPr>
          <w:rFonts w:ascii="ＭＳ 明朝" w:hAnsi="ＭＳ 明朝"/>
          <w:sz w:val="24"/>
        </w:rPr>
      </w:pPr>
      <w:r w:rsidRPr="007C5A3C">
        <w:rPr>
          <w:rFonts w:ascii="ＭＳ 明朝" w:hAnsi="ＭＳ 明朝" w:hint="eastAsia"/>
          <w:sz w:val="24"/>
        </w:rPr>
        <w:t>基づく見積内訳明細書の作成や契約締結後における工事の施工を義務付けるものではないが、積算数量に疑義が生じた場合における発注者と受注者との協議は、入札時積算数量書に基づき行うものとする。</w:t>
      </w:r>
    </w:p>
    <w:p w14:paraId="382A1A78" w14:textId="74A78DBF"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２　入札参加者は、入札時積算数量書に記載された内容について質問することができる。なお、受注者は、当該質問の有無にかかわらず、契約締結後に積算数量に疑義が生じた場合には、積算数量に関する協議を求めることができることに留意するものとする。</w:t>
      </w:r>
    </w:p>
    <w:p w14:paraId="424631C7" w14:textId="77777777"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３　提出された見積内訳明細書は、４（２）に規定する確認に用いるものとする。</w:t>
      </w:r>
    </w:p>
    <w:p w14:paraId="64B1CE2B" w14:textId="77777777" w:rsidR="007C5A3C" w:rsidRPr="007C5A3C" w:rsidRDefault="007C5A3C" w:rsidP="007C5A3C">
      <w:pPr>
        <w:ind w:firstLineChars="100" w:firstLine="240"/>
        <w:contextualSpacing/>
        <w:rPr>
          <w:rFonts w:ascii="ＭＳ 明朝" w:hAnsi="ＭＳ 明朝"/>
          <w:sz w:val="24"/>
        </w:rPr>
      </w:pPr>
      <w:r w:rsidRPr="007C5A3C">
        <w:rPr>
          <w:rFonts w:ascii="ＭＳ 明朝" w:hAnsi="ＭＳ 明朝" w:hint="eastAsia"/>
          <w:sz w:val="24"/>
        </w:rPr>
        <w:t>４　積算数量に関する協議は次のとおり実施する。</w:t>
      </w:r>
    </w:p>
    <w:p w14:paraId="143F27AF" w14:textId="77777777" w:rsidR="007C5A3C" w:rsidRPr="007C5A3C" w:rsidRDefault="007C5A3C" w:rsidP="007C5A3C">
      <w:pPr>
        <w:ind w:leftChars="100" w:left="690" w:hangingChars="200" w:hanging="480"/>
        <w:contextualSpacing/>
        <w:rPr>
          <w:rFonts w:ascii="ＭＳ 明朝" w:hAnsi="ＭＳ 明朝"/>
          <w:sz w:val="24"/>
        </w:rPr>
      </w:pPr>
      <w:r w:rsidRPr="007C5A3C">
        <w:rPr>
          <w:rFonts w:ascii="ＭＳ 明朝" w:hAnsi="ＭＳ 明朝" w:hint="eastAsia"/>
          <w:sz w:val="24"/>
        </w:rPr>
        <w:t>（１）受注者は、入札時積算数量書に記載された積算数量に疑義が生じた場合は、直ちに協議を求めるものとする。ただし、当該疑義に係る積算数量の部分の工事が完了した場合、協議を求めることができないものとする。</w:t>
      </w:r>
    </w:p>
    <w:p w14:paraId="55E212CE" w14:textId="6B3DD512" w:rsidR="007C5A3C" w:rsidRPr="007C5A3C" w:rsidRDefault="007C5A3C" w:rsidP="007C5A3C">
      <w:pPr>
        <w:ind w:leftChars="100" w:left="690" w:hangingChars="200" w:hanging="480"/>
        <w:contextualSpacing/>
        <w:rPr>
          <w:rFonts w:ascii="ＭＳ 明朝" w:hAnsi="ＭＳ 明朝"/>
          <w:sz w:val="24"/>
        </w:rPr>
      </w:pPr>
      <w:r w:rsidRPr="007C5A3C">
        <w:rPr>
          <w:rFonts w:ascii="ＭＳ 明朝" w:hAnsi="ＭＳ 明朝" w:hint="eastAsia"/>
          <w:sz w:val="24"/>
        </w:rPr>
        <w:t>（２）受注者からの請求による（１）の協議は、入札時積算数量書における当該疑義に係る積算数量と、これに対応する見積内訳明細書における当該数量が同一であると確認できた場合にのみ行うことができるものとする。</w:t>
      </w:r>
    </w:p>
    <w:p w14:paraId="5CF84572" w14:textId="77777777" w:rsidR="007C5A3C" w:rsidRPr="007C5A3C" w:rsidRDefault="007C5A3C" w:rsidP="007C5A3C">
      <w:pPr>
        <w:ind w:leftChars="100" w:left="690" w:hangingChars="200" w:hanging="480"/>
        <w:contextualSpacing/>
        <w:rPr>
          <w:rFonts w:ascii="ＭＳ 明朝" w:hAnsi="ＭＳ 明朝"/>
          <w:sz w:val="24"/>
        </w:rPr>
      </w:pPr>
      <w:r w:rsidRPr="007C5A3C">
        <w:rPr>
          <w:rFonts w:ascii="ＭＳ 明朝" w:hAnsi="ＭＳ 明朝" w:hint="eastAsia"/>
          <w:sz w:val="24"/>
        </w:rPr>
        <w:t>（３）入札時積算数量書に記載された積算数量に関する協議（発注者が請求する場合を含む。）は、入札時積算数量書に基づき行うものとする。ただし、入札時積算数量書の細目別内訳において数量を一式としている細目（設計図書において施工条件が明示された項目を除く。）を除くものとする。</w:t>
      </w:r>
    </w:p>
    <w:p w14:paraId="3B8D13BC" w14:textId="77777777" w:rsidR="007C5A3C" w:rsidRPr="007C5A3C" w:rsidRDefault="007C5A3C" w:rsidP="007C5A3C">
      <w:pPr>
        <w:ind w:leftChars="100" w:left="690" w:hangingChars="200" w:hanging="480"/>
        <w:contextualSpacing/>
        <w:rPr>
          <w:rFonts w:ascii="ＭＳ 明朝" w:hAnsi="ＭＳ 明朝"/>
          <w:sz w:val="24"/>
        </w:rPr>
      </w:pPr>
      <w:r w:rsidRPr="007C5A3C">
        <w:rPr>
          <w:rFonts w:ascii="ＭＳ 明朝" w:hAnsi="ＭＳ 明朝" w:hint="eastAsia"/>
          <w:sz w:val="24"/>
        </w:rPr>
        <w:t>（４）（３）の協議の結果、入札時積算数量書に記載された積算数量に訂正が必要となった場合は、契約書、設計図書及び数量基準に定めるところによるものとする。</w:t>
      </w:r>
    </w:p>
    <w:p w14:paraId="25BC487C" w14:textId="20BECBC5" w:rsidR="007C5A3C" w:rsidRP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５　入札時積算数量書別紙明細は、入札公告において参考図書として閲覧等を</w:t>
      </w:r>
      <w:r w:rsidRPr="007C5A3C">
        <w:rPr>
          <w:rFonts w:ascii="ＭＳ 明朝" w:hAnsi="ＭＳ 明朝" w:hint="eastAsia"/>
          <w:sz w:val="24"/>
        </w:rPr>
        <w:lastRenderedPageBreak/>
        <w:t>行うものとする。</w:t>
      </w:r>
    </w:p>
    <w:p w14:paraId="758666B3" w14:textId="24F6C162" w:rsidR="007C5A3C" w:rsidRDefault="007C5A3C" w:rsidP="007C5A3C">
      <w:pPr>
        <w:ind w:leftChars="100" w:left="450" w:hangingChars="100" w:hanging="240"/>
        <w:contextualSpacing/>
        <w:rPr>
          <w:rFonts w:ascii="ＭＳ 明朝" w:hAnsi="ＭＳ 明朝"/>
          <w:sz w:val="24"/>
        </w:rPr>
      </w:pPr>
      <w:r w:rsidRPr="007C5A3C">
        <w:rPr>
          <w:rFonts w:ascii="ＭＳ 明朝" w:hAnsi="ＭＳ 明朝" w:hint="eastAsia"/>
          <w:sz w:val="24"/>
        </w:rPr>
        <w:t>６</w:t>
      </w:r>
      <w:r>
        <w:rPr>
          <w:rFonts w:ascii="ＭＳ 明朝" w:hAnsi="ＭＳ 明朝" w:hint="eastAsia"/>
          <w:sz w:val="24"/>
        </w:rPr>
        <w:t xml:space="preserve">　</w:t>
      </w:r>
      <w:r w:rsidRPr="007C5A3C">
        <w:rPr>
          <w:rFonts w:ascii="ＭＳ 明朝" w:hAnsi="ＭＳ 明朝" w:hint="eastAsia"/>
          <w:sz w:val="24"/>
        </w:rPr>
        <w:t>入札参加者は、入札時積算数量書別紙明細に記載された内容について疑義がある場合には、質問することができる。</w:t>
      </w:r>
    </w:p>
    <w:p w14:paraId="39B5257C" w14:textId="77777777" w:rsidR="007C5A3C" w:rsidRPr="007C5A3C" w:rsidRDefault="007C5A3C" w:rsidP="007C5A3C">
      <w:pPr>
        <w:ind w:leftChars="100" w:left="450" w:hangingChars="100" w:hanging="240"/>
        <w:contextualSpacing/>
        <w:rPr>
          <w:rFonts w:ascii="ＭＳ 明朝" w:hAnsi="ＭＳ 明朝"/>
          <w:sz w:val="24"/>
        </w:rPr>
      </w:pPr>
    </w:p>
    <w:p w14:paraId="4CB40AC9"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第６　その他</w:t>
      </w:r>
    </w:p>
    <w:p w14:paraId="320EB04A"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この要領に定めるものの他必要な事項は、別に定めるものとする。</w:t>
      </w:r>
    </w:p>
    <w:p w14:paraId="788DD69A" w14:textId="77777777" w:rsidR="007C5A3C" w:rsidRDefault="007C5A3C" w:rsidP="007C5A3C">
      <w:pPr>
        <w:contextualSpacing/>
        <w:rPr>
          <w:rFonts w:ascii="ＭＳ 明朝" w:hAnsi="ＭＳ 明朝"/>
          <w:sz w:val="24"/>
        </w:rPr>
      </w:pPr>
    </w:p>
    <w:p w14:paraId="509F7F1F" w14:textId="77777777" w:rsidR="0087658F" w:rsidRPr="007C5A3C" w:rsidRDefault="0087658F" w:rsidP="007C5A3C">
      <w:pPr>
        <w:contextualSpacing/>
        <w:rPr>
          <w:rFonts w:ascii="ＭＳ 明朝" w:hAnsi="ＭＳ 明朝" w:hint="eastAsia"/>
          <w:sz w:val="24"/>
        </w:rPr>
      </w:pPr>
    </w:p>
    <w:p w14:paraId="746EDC56"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 xml:space="preserve">　附　則</w:t>
      </w:r>
    </w:p>
    <w:p w14:paraId="5C07BBF6"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１　この要領は、令和７年４月１日から施行する。</w:t>
      </w:r>
    </w:p>
    <w:p w14:paraId="36AEA379" w14:textId="77777777" w:rsidR="0087658F" w:rsidRDefault="007C5A3C" w:rsidP="007C5A3C">
      <w:pPr>
        <w:contextualSpacing/>
        <w:rPr>
          <w:rFonts w:ascii="ＭＳ 明朝" w:hAnsi="ＭＳ 明朝"/>
          <w:sz w:val="24"/>
        </w:rPr>
      </w:pPr>
      <w:r w:rsidRPr="007C5A3C">
        <w:rPr>
          <w:rFonts w:ascii="ＭＳ 明朝" w:hAnsi="ＭＳ 明朝" w:hint="eastAsia"/>
          <w:sz w:val="24"/>
        </w:rPr>
        <w:t>２　この要領の規定は令和７年４月１日以降に入札公告等を行う工事から適用</w:t>
      </w:r>
    </w:p>
    <w:p w14:paraId="05182DFD" w14:textId="77777777" w:rsidR="0087658F" w:rsidRDefault="0087658F" w:rsidP="007C5A3C">
      <w:pPr>
        <w:contextualSpacing/>
        <w:rPr>
          <w:rFonts w:ascii="ＭＳ 明朝" w:hAnsi="ＭＳ 明朝"/>
          <w:sz w:val="24"/>
        </w:rPr>
      </w:pPr>
      <w:r>
        <w:rPr>
          <w:rFonts w:ascii="ＭＳ 明朝" w:hAnsi="ＭＳ 明朝" w:hint="eastAsia"/>
          <w:sz w:val="24"/>
        </w:rPr>
        <w:t xml:space="preserve">　</w:t>
      </w:r>
      <w:r w:rsidR="007C5A3C" w:rsidRPr="007C5A3C">
        <w:rPr>
          <w:rFonts w:ascii="ＭＳ 明朝" w:hAnsi="ＭＳ 明朝" w:hint="eastAsia"/>
          <w:sz w:val="24"/>
        </w:rPr>
        <w:t>することとし、同日前に入札公告等を行う工事への適用については、なお従前</w:t>
      </w:r>
    </w:p>
    <w:p w14:paraId="24204E00" w14:textId="0BA8F2CB" w:rsidR="007C5A3C" w:rsidRPr="007C5A3C" w:rsidRDefault="007C5A3C" w:rsidP="0087658F">
      <w:pPr>
        <w:ind w:firstLineChars="100" w:firstLine="240"/>
        <w:contextualSpacing/>
        <w:rPr>
          <w:rFonts w:ascii="ＭＳ 明朝" w:hAnsi="ＭＳ 明朝"/>
          <w:sz w:val="24"/>
        </w:rPr>
      </w:pPr>
      <w:r w:rsidRPr="007C5A3C">
        <w:rPr>
          <w:rFonts w:ascii="ＭＳ 明朝" w:hAnsi="ＭＳ 明朝" w:hint="eastAsia"/>
          <w:sz w:val="24"/>
        </w:rPr>
        <w:t>の例による。</w:t>
      </w:r>
    </w:p>
    <w:p w14:paraId="510E3CDA" w14:textId="77777777" w:rsidR="0087658F" w:rsidRDefault="007C5A3C" w:rsidP="007C5A3C">
      <w:pPr>
        <w:contextualSpacing/>
        <w:rPr>
          <w:rFonts w:ascii="ＭＳ 明朝" w:hAnsi="ＭＳ 明朝"/>
          <w:sz w:val="24"/>
        </w:rPr>
      </w:pPr>
      <w:r w:rsidRPr="007C5A3C">
        <w:rPr>
          <w:rFonts w:ascii="ＭＳ 明朝" w:hAnsi="ＭＳ 明朝" w:hint="eastAsia"/>
          <w:sz w:val="24"/>
        </w:rPr>
        <w:t>３　この要領の施行に伴い、秋田県営繕工事における入札時積算数量書活用方式</w:t>
      </w:r>
    </w:p>
    <w:p w14:paraId="3D2F9D3D" w14:textId="2821C8AF" w:rsidR="007C5A3C" w:rsidRPr="007C5A3C" w:rsidRDefault="0087658F" w:rsidP="007C5A3C">
      <w:pPr>
        <w:contextualSpacing/>
        <w:rPr>
          <w:rFonts w:ascii="ＭＳ 明朝" w:hAnsi="ＭＳ 明朝"/>
          <w:sz w:val="24"/>
        </w:rPr>
      </w:pPr>
      <w:r>
        <w:rPr>
          <w:rFonts w:ascii="ＭＳ 明朝" w:hAnsi="ＭＳ 明朝" w:hint="eastAsia"/>
          <w:sz w:val="24"/>
        </w:rPr>
        <w:t xml:space="preserve">　</w:t>
      </w:r>
      <w:r w:rsidR="007C5A3C" w:rsidRPr="007C5A3C">
        <w:rPr>
          <w:rFonts w:ascii="ＭＳ 明朝" w:hAnsi="ＭＳ 明朝" w:hint="eastAsia"/>
          <w:sz w:val="24"/>
        </w:rPr>
        <w:t>試行要領（令和２年３月１８日付け営－７７２）は廃止する。</w:t>
      </w:r>
    </w:p>
    <w:p w14:paraId="581E32CC" w14:textId="77777777" w:rsidR="0087658F" w:rsidRDefault="0087658F">
      <w:pPr>
        <w:widowControl/>
        <w:jc w:val="left"/>
        <w:rPr>
          <w:rFonts w:ascii="ＭＳ 明朝" w:hAnsi="ＭＳ 明朝"/>
          <w:sz w:val="24"/>
        </w:rPr>
      </w:pPr>
      <w:r>
        <w:rPr>
          <w:rFonts w:ascii="ＭＳ 明朝" w:hAnsi="ＭＳ 明朝"/>
          <w:sz w:val="24"/>
        </w:rPr>
        <w:br w:type="page"/>
      </w:r>
    </w:p>
    <w:p w14:paraId="59FBA6EE" w14:textId="11DCA121" w:rsidR="007C5A3C" w:rsidRPr="007C5A3C" w:rsidRDefault="007C5A3C" w:rsidP="007C5A3C">
      <w:pPr>
        <w:contextualSpacing/>
        <w:rPr>
          <w:rFonts w:ascii="ＭＳ 明朝" w:hAnsi="ＭＳ 明朝"/>
          <w:sz w:val="24"/>
        </w:rPr>
      </w:pPr>
      <w:r w:rsidRPr="007C5A3C">
        <w:rPr>
          <w:rFonts w:ascii="ＭＳ 明朝" w:hAnsi="ＭＳ 明朝" w:hint="eastAsia"/>
          <w:sz w:val="24"/>
        </w:rPr>
        <w:lastRenderedPageBreak/>
        <w:t>（別紙１）</w:t>
      </w:r>
    </w:p>
    <w:p w14:paraId="263FEBB4" w14:textId="77777777" w:rsidR="007C5A3C" w:rsidRPr="007C5A3C" w:rsidRDefault="007C5A3C" w:rsidP="007C5A3C">
      <w:pPr>
        <w:contextualSpacing/>
        <w:rPr>
          <w:rFonts w:ascii="ＭＳ 明朝" w:hAnsi="ＭＳ 明朝"/>
          <w:sz w:val="24"/>
        </w:rPr>
      </w:pPr>
    </w:p>
    <w:p w14:paraId="7D4219CD" w14:textId="77777777" w:rsidR="007C5A3C" w:rsidRDefault="007C5A3C" w:rsidP="007C5A3C">
      <w:pPr>
        <w:contextualSpacing/>
        <w:rPr>
          <w:rFonts w:ascii="ＭＳ 明朝" w:hAnsi="ＭＳ 明朝"/>
          <w:sz w:val="24"/>
        </w:rPr>
      </w:pPr>
      <w:r w:rsidRPr="007C5A3C">
        <w:rPr>
          <w:rFonts w:ascii="ＭＳ 明朝" w:hAnsi="ＭＳ 明朝" w:hint="eastAsia"/>
          <w:sz w:val="24"/>
        </w:rPr>
        <w:t>【入札公告文の記載例】</w:t>
      </w:r>
    </w:p>
    <w:p w14:paraId="0D030E50" w14:textId="77777777" w:rsidR="007C5A3C" w:rsidRPr="007C5A3C" w:rsidRDefault="007C5A3C" w:rsidP="007C5A3C">
      <w:pPr>
        <w:contextualSpacing/>
        <w:rPr>
          <w:rFonts w:ascii="ＭＳ 明朝" w:hAnsi="ＭＳ 明朝"/>
          <w:sz w:val="24"/>
        </w:rPr>
      </w:pPr>
    </w:p>
    <w:p w14:paraId="6BE4BD43"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 xml:space="preserve">　本工事は、「秋田県営繕工事における入札時積算数量書活用方式実施要領」に基づく入札時積算数量活用方式の対象工事である。</w:t>
      </w:r>
    </w:p>
    <w:p w14:paraId="413DB3D8"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 xml:space="preserve">　入札時積算数量活用方式の適用については、入札時積算数量書活用方式説明書のとおりとする。</w:t>
      </w:r>
    </w:p>
    <w:p w14:paraId="77292CB9" w14:textId="77777777" w:rsidR="007C5A3C" w:rsidRPr="007C5A3C" w:rsidRDefault="007C5A3C" w:rsidP="007C5A3C">
      <w:pPr>
        <w:contextualSpacing/>
        <w:rPr>
          <w:rFonts w:ascii="ＭＳ 明朝" w:hAnsi="ＭＳ 明朝"/>
          <w:sz w:val="24"/>
        </w:rPr>
      </w:pPr>
    </w:p>
    <w:p w14:paraId="01A5AB73"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【入札時積算数量書活用方式説明書の記載例】</w:t>
      </w:r>
    </w:p>
    <w:p w14:paraId="4BAF002B" w14:textId="77777777" w:rsidR="007C5A3C" w:rsidRPr="007C5A3C" w:rsidRDefault="007C5A3C" w:rsidP="007C5A3C">
      <w:pPr>
        <w:contextualSpacing/>
        <w:rPr>
          <w:rFonts w:ascii="ＭＳ 明朝" w:hAnsi="ＭＳ 明朝"/>
          <w:sz w:val="24"/>
        </w:rPr>
      </w:pPr>
    </w:p>
    <w:p w14:paraId="13A63D9A" w14:textId="77777777" w:rsidR="007C5A3C" w:rsidRPr="007C5A3C" w:rsidRDefault="007C5A3C" w:rsidP="007C5A3C">
      <w:pPr>
        <w:contextualSpacing/>
        <w:jc w:val="center"/>
        <w:rPr>
          <w:rFonts w:ascii="ＭＳ 明朝" w:hAnsi="ＭＳ 明朝"/>
          <w:sz w:val="24"/>
        </w:rPr>
      </w:pPr>
      <w:r w:rsidRPr="007C5A3C">
        <w:rPr>
          <w:rFonts w:ascii="ＭＳ 明朝" w:hAnsi="ＭＳ 明朝" w:hint="eastAsia"/>
          <w:sz w:val="24"/>
        </w:rPr>
        <w:t>入札時積算数量書活用方式説明書</w:t>
      </w:r>
    </w:p>
    <w:p w14:paraId="6B9602ED" w14:textId="77777777" w:rsidR="007C5A3C" w:rsidRPr="007C5A3C" w:rsidRDefault="007C5A3C" w:rsidP="007C5A3C">
      <w:pPr>
        <w:contextualSpacing/>
        <w:rPr>
          <w:rFonts w:ascii="ＭＳ 明朝" w:hAnsi="ＭＳ 明朝"/>
          <w:sz w:val="24"/>
        </w:rPr>
      </w:pPr>
    </w:p>
    <w:p w14:paraId="74FB30F6" w14:textId="39636472" w:rsidR="007C5A3C" w:rsidRPr="007C5A3C" w:rsidRDefault="007C5A3C" w:rsidP="007C5A3C">
      <w:pPr>
        <w:contextualSpacing/>
        <w:rPr>
          <w:rFonts w:ascii="ＭＳ 明朝" w:hAnsi="ＭＳ 明朝"/>
          <w:sz w:val="24"/>
        </w:rPr>
      </w:pPr>
      <w:r w:rsidRPr="007C5A3C">
        <w:rPr>
          <w:rFonts w:ascii="ＭＳ 明朝" w:hAnsi="ＭＳ 明朝" w:hint="eastAsia"/>
          <w:sz w:val="24"/>
        </w:rPr>
        <w:t>入札時積算数量書活用方式の適用については次のとおりとする。</w:t>
      </w:r>
    </w:p>
    <w:p w14:paraId="143D4ED9" w14:textId="77777777" w:rsidR="008F521A" w:rsidRDefault="007C5A3C" w:rsidP="007C5A3C">
      <w:pPr>
        <w:contextualSpacing/>
        <w:rPr>
          <w:rFonts w:ascii="ＭＳ 明朝" w:hAnsi="ＭＳ 明朝"/>
          <w:sz w:val="24"/>
        </w:rPr>
      </w:pPr>
      <w:r w:rsidRPr="007C5A3C">
        <w:rPr>
          <w:rFonts w:ascii="ＭＳ 明朝" w:hAnsi="ＭＳ 明朝" w:hint="eastAsia"/>
          <w:sz w:val="24"/>
        </w:rPr>
        <w:t>（１）本方式では、入札時において発注者が入札時積算数量書を示し、入札参加</w:t>
      </w:r>
    </w:p>
    <w:p w14:paraId="0B03ED90"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者が入札時積算数量書に記載された積算数量を活用して入札に参加するこ</w:t>
      </w:r>
    </w:p>
    <w:p w14:paraId="6C597580"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とを通じ、工事請負契約の締結後において、当該積算数量に疑義が生じた場</w:t>
      </w:r>
    </w:p>
    <w:p w14:paraId="238FB20E"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合に、発注者及び受注者は、入札時積算数量書に基づき、積算数量に関する</w:t>
      </w:r>
    </w:p>
    <w:p w14:paraId="639238BD" w14:textId="3EFDA42A"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協議を行うことができる。</w:t>
      </w:r>
    </w:p>
    <w:p w14:paraId="762074C7" w14:textId="77777777" w:rsidR="008F521A" w:rsidRDefault="007C5A3C" w:rsidP="008F521A">
      <w:pPr>
        <w:ind w:firstLineChars="300" w:firstLine="720"/>
        <w:contextualSpacing/>
        <w:rPr>
          <w:rFonts w:ascii="ＭＳ 明朝" w:hAnsi="ＭＳ 明朝"/>
          <w:sz w:val="24"/>
        </w:rPr>
      </w:pPr>
      <w:r w:rsidRPr="007C5A3C">
        <w:rPr>
          <w:rFonts w:ascii="ＭＳ 明朝" w:hAnsi="ＭＳ 明朝" w:hint="eastAsia"/>
          <w:sz w:val="24"/>
        </w:rPr>
        <w:t>なお、入札時積算数量書に記載された積算数量については、当該積算数量</w:t>
      </w:r>
    </w:p>
    <w:p w14:paraId="14B46693"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に基づく見積内訳明細書の提出や契約締結後における工事の施工を求める</w:t>
      </w:r>
    </w:p>
    <w:p w14:paraId="7B978FBC" w14:textId="562CEE07"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ものではない。</w:t>
      </w:r>
    </w:p>
    <w:p w14:paraId="2C2BB0F3" w14:textId="77777777" w:rsidR="008F521A" w:rsidRDefault="007C5A3C" w:rsidP="007C5A3C">
      <w:pPr>
        <w:contextualSpacing/>
        <w:rPr>
          <w:rFonts w:ascii="ＭＳ 明朝" w:hAnsi="ＭＳ 明朝"/>
          <w:sz w:val="24"/>
        </w:rPr>
      </w:pPr>
      <w:r w:rsidRPr="007C5A3C">
        <w:rPr>
          <w:rFonts w:ascii="ＭＳ 明朝" w:hAnsi="ＭＳ 明朝" w:hint="eastAsia"/>
          <w:sz w:val="24"/>
        </w:rPr>
        <w:t>（２）受注者は、入札時積算数量書に記載された積算数量に疑義が生じた場合は、</w:t>
      </w:r>
    </w:p>
    <w:p w14:paraId="0B7192E4"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直ちに協議を求めるものとする。ただし、当該疑義に係る積算数量の部分の</w:t>
      </w:r>
    </w:p>
    <w:p w14:paraId="007220C7" w14:textId="23303518"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工事が完了した場合、協議を求めることができないものとする。</w:t>
      </w:r>
    </w:p>
    <w:p w14:paraId="366FC2D3" w14:textId="77777777" w:rsidR="008F521A" w:rsidRDefault="007C5A3C" w:rsidP="007C5A3C">
      <w:pPr>
        <w:contextualSpacing/>
        <w:rPr>
          <w:rFonts w:ascii="ＭＳ 明朝" w:hAnsi="ＭＳ 明朝"/>
          <w:sz w:val="24"/>
        </w:rPr>
      </w:pPr>
      <w:r w:rsidRPr="007C5A3C">
        <w:rPr>
          <w:rFonts w:ascii="ＭＳ 明朝" w:hAnsi="ＭＳ 明朝" w:hint="eastAsia"/>
          <w:sz w:val="24"/>
        </w:rPr>
        <w:t>（３）受注者からの請求による①の協議は、入札時積算数量書における当該疑義</w:t>
      </w:r>
    </w:p>
    <w:p w14:paraId="0ED7A291"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に係る積算数量と、これに対応する見積内訳明細書における当該数量が同一</w:t>
      </w:r>
    </w:p>
    <w:p w14:paraId="356020F9" w14:textId="7891DCFC"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であると確認できた場合にのみ行うことができるものとする。</w:t>
      </w:r>
    </w:p>
    <w:p w14:paraId="49C85DBD" w14:textId="77777777" w:rsidR="008F521A" w:rsidRDefault="007C5A3C" w:rsidP="007C5A3C">
      <w:pPr>
        <w:contextualSpacing/>
        <w:rPr>
          <w:rFonts w:ascii="ＭＳ 明朝" w:hAnsi="ＭＳ 明朝"/>
          <w:sz w:val="24"/>
        </w:rPr>
      </w:pPr>
      <w:r w:rsidRPr="007C5A3C">
        <w:rPr>
          <w:rFonts w:ascii="ＭＳ 明朝" w:hAnsi="ＭＳ 明朝" w:hint="eastAsia"/>
          <w:sz w:val="24"/>
        </w:rPr>
        <w:t>（４）（１）の協議（発注者が請求する場合も含む。）は、入札時積算数量書に基</w:t>
      </w:r>
    </w:p>
    <w:p w14:paraId="52D9552C"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づき行うものとする。ただし、入札時積算数量書の細目別内訳において数量</w:t>
      </w:r>
    </w:p>
    <w:p w14:paraId="3EA6A2FD"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を一式としている細目（設計図書において施工条件が明示された項目を除</w:t>
      </w:r>
    </w:p>
    <w:p w14:paraId="43DDD084" w14:textId="76A54DCD"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く。）を除く。</w:t>
      </w:r>
    </w:p>
    <w:p w14:paraId="1B0F9402" w14:textId="77777777" w:rsidR="008F521A" w:rsidRDefault="007C5A3C" w:rsidP="007C5A3C">
      <w:pPr>
        <w:contextualSpacing/>
        <w:rPr>
          <w:rFonts w:ascii="ＭＳ 明朝" w:hAnsi="ＭＳ 明朝"/>
          <w:sz w:val="24"/>
        </w:rPr>
      </w:pPr>
      <w:r w:rsidRPr="007C5A3C">
        <w:rPr>
          <w:rFonts w:ascii="ＭＳ 明朝" w:hAnsi="ＭＳ 明朝" w:hint="eastAsia"/>
          <w:sz w:val="24"/>
        </w:rPr>
        <w:t>（５）（１）の協議の結果、入札時積算数量書に記載された積算数量に訂正が必</w:t>
      </w:r>
    </w:p>
    <w:p w14:paraId="0C2F63D2"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要となった場合は、契約書、設計図書及び数量基準に定めるところによるも</w:t>
      </w:r>
    </w:p>
    <w:p w14:paraId="2F95380D" w14:textId="3FADDE21"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のとする。</w:t>
      </w:r>
    </w:p>
    <w:p w14:paraId="71DB16C5" w14:textId="77777777" w:rsidR="008F521A" w:rsidRDefault="007C5A3C" w:rsidP="007C5A3C">
      <w:pPr>
        <w:contextualSpacing/>
        <w:rPr>
          <w:rFonts w:ascii="ＭＳ 明朝" w:hAnsi="ＭＳ 明朝"/>
          <w:sz w:val="24"/>
        </w:rPr>
      </w:pPr>
      <w:r w:rsidRPr="007C5A3C">
        <w:rPr>
          <w:rFonts w:ascii="ＭＳ 明朝" w:hAnsi="ＭＳ 明朝" w:hint="eastAsia"/>
          <w:sz w:val="24"/>
        </w:rPr>
        <w:t>（６）入札時積算数量書及び入札時積算数量書別紙明細書に対する質問の提出及</w:t>
      </w:r>
    </w:p>
    <w:p w14:paraId="0A940FA9" w14:textId="11151BE0"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び回答の方法は、設計図書等に対する質問及び回答の方法に準ずる。</w:t>
      </w:r>
    </w:p>
    <w:p w14:paraId="5D1AC1EC" w14:textId="4948BA66" w:rsidR="007C5A3C" w:rsidRDefault="007C5A3C">
      <w:pPr>
        <w:widowControl/>
        <w:jc w:val="left"/>
        <w:rPr>
          <w:rFonts w:ascii="ＭＳ 明朝" w:hAnsi="ＭＳ 明朝"/>
          <w:sz w:val="24"/>
        </w:rPr>
      </w:pPr>
      <w:r>
        <w:rPr>
          <w:rFonts w:ascii="ＭＳ 明朝" w:hAnsi="ＭＳ 明朝"/>
          <w:sz w:val="24"/>
        </w:rPr>
        <w:br w:type="page"/>
      </w:r>
    </w:p>
    <w:p w14:paraId="668E6AFA"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lastRenderedPageBreak/>
        <w:t>（別紙２）</w:t>
      </w:r>
    </w:p>
    <w:p w14:paraId="00AAD669" w14:textId="31419F2F" w:rsidR="007C5A3C" w:rsidRPr="007C5A3C" w:rsidRDefault="007C5A3C" w:rsidP="007C5A3C">
      <w:pPr>
        <w:contextualSpacing/>
        <w:jc w:val="center"/>
        <w:rPr>
          <w:rFonts w:ascii="ＭＳ 明朝" w:hAnsi="ＭＳ 明朝"/>
          <w:sz w:val="24"/>
        </w:rPr>
      </w:pPr>
      <w:r w:rsidRPr="007C5A3C">
        <w:rPr>
          <w:rFonts w:ascii="ＭＳ 明朝" w:hAnsi="ＭＳ 明朝" w:hint="eastAsia"/>
          <w:sz w:val="24"/>
        </w:rPr>
        <w:t>入札時積算数量書等説明書（表紙）</w:t>
      </w:r>
    </w:p>
    <w:p w14:paraId="34F0289A" w14:textId="77777777" w:rsidR="007C5A3C" w:rsidRPr="007C5A3C" w:rsidRDefault="007C5A3C" w:rsidP="007C5A3C">
      <w:pPr>
        <w:contextualSpacing/>
        <w:rPr>
          <w:rFonts w:ascii="ＭＳ 明朝" w:hAnsi="ＭＳ 明朝"/>
          <w:sz w:val="24"/>
        </w:rPr>
      </w:pPr>
    </w:p>
    <w:p w14:paraId="7C526719"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 xml:space="preserve">　　　　　　　　　　　　　　　　　　　　　　　　　秋田県建設部営繕課</w:t>
      </w:r>
    </w:p>
    <w:p w14:paraId="004A168C"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工事番号・工事名称：○○―○○・○○工事</w:t>
      </w:r>
    </w:p>
    <w:p w14:paraId="354F964F" w14:textId="77777777" w:rsidR="007C5A3C" w:rsidRPr="007C5A3C" w:rsidRDefault="007C5A3C" w:rsidP="007C5A3C">
      <w:pPr>
        <w:contextualSpacing/>
        <w:rPr>
          <w:rFonts w:ascii="ＭＳ 明朝" w:hAnsi="ＭＳ 明朝"/>
          <w:sz w:val="24"/>
        </w:rPr>
      </w:pPr>
    </w:p>
    <w:p w14:paraId="494616F0"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１．入札時積算数量書等について</w:t>
      </w:r>
    </w:p>
    <w:p w14:paraId="20EACCEE" w14:textId="77777777" w:rsidR="007C5A3C" w:rsidRPr="007C5A3C" w:rsidRDefault="007C5A3C" w:rsidP="008F521A">
      <w:pPr>
        <w:ind w:firstLineChars="100" w:firstLine="240"/>
        <w:contextualSpacing/>
        <w:rPr>
          <w:rFonts w:ascii="ＭＳ 明朝" w:hAnsi="ＭＳ 明朝"/>
          <w:sz w:val="24"/>
        </w:rPr>
      </w:pPr>
      <w:r w:rsidRPr="007C5A3C">
        <w:rPr>
          <w:rFonts w:ascii="ＭＳ 明朝" w:hAnsi="ＭＳ 明朝" w:hint="eastAsia"/>
          <w:sz w:val="24"/>
        </w:rPr>
        <w:t>当初入札時における積算数量が記載された入札予定価格のもととなる工事費内訳書から単価及び金額等を削除するなどの加工・編集を施した入札時積算数量書及び入札時積算数量書別紙明細である。</w:t>
      </w:r>
    </w:p>
    <w:p w14:paraId="6AC494D5" w14:textId="77777777" w:rsidR="007C5A3C" w:rsidRPr="007C5A3C" w:rsidRDefault="007C5A3C" w:rsidP="007C5A3C">
      <w:pPr>
        <w:contextualSpacing/>
        <w:rPr>
          <w:rFonts w:ascii="ＭＳ 明朝" w:hAnsi="ＭＳ 明朝"/>
          <w:sz w:val="24"/>
        </w:rPr>
      </w:pPr>
    </w:p>
    <w:p w14:paraId="128EAF6F"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２．入札時積算数量書別紙明細について</w:t>
      </w:r>
    </w:p>
    <w:p w14:paraId="06ECF923" w14:textId="77777777" w:rsidR="007C5A3C" w:rsidRPr="007C5A3C" w:rsidRDefault="007C5A3C" w:rsidP="008F521A">
      <w:pPr>
        <w:ind w:firstLineChars="100" w:firstLine="240"/>
        <w:contextualSpacing/>
        <w:rPr>
          <w:rFonts w:ascii="ＭＳ 明朝" w:hAnsi="ＭＳ 明朝"/>
          <w:sz w:val="24"/>
        </w:rPr>
      </w:pPr>
      <w:r w:rsidRPr="007C5A3C">
        <w:rPr>
          <w:rFonts w:ascii="ＭＳ 明朝" w:hAnsi="ＭＳ 明朝" w:hint="eastAsia"/>
          <w:sz w:val="24"/>
        </w:rPr>
        <w:t>入札時積算数量書の細目別内訳において数量を一式としている細目のうち、必要に応じて別途作成される当該細目の根拠となる名称、数量及び単位を取りまとめて示す書面である。また、入札時積算数量書において、数量を一式としている共通仮設費、現場管理費及び一般管理費等について、必要に応じて別途作成される各費用の根拠となる名称、数量及び単位を取りまとめて示す明細書を含む。</w:t>
      </w:r>
    </w:p>
    <w:p w14:paraId="4C1E75F3" w14:textId="77777777" w:rsidR="007C5A3C" w:rsidRPr="007C5A3C" w:rsidRDefault="007C5A3C" w:rsidP="008F521A">
      <w:pPr>
        <w:ind w:firstLineChars="100" w:firstLine="240"/>
        <w:contextualSpacing/>
        <w:rPr>
          <w:rFonts w:ascii="ＭＳ 明朝" w:hAnsi="ＭＳ 明朝"/>
          <w:sz w:val="24"/>
        </w:rPr>
      </w:pPr>
      <w:r w:rsidRPr="007C5A3C">
        <w:rPr>
          <w:rFonts w:ascii="ＭＳ 明朝" w:hAnsi="ＭＳ 明朝" w:hint="eastAsia"/>
          <w:sz w:val="24"/>
        </w:rPr>
        <w:t>なお、入札時積算数量書別紙明細は、参考図書として添付する。</w:t>
      </w:r>
    </w:p>
    <w:p w14:paraId="479FDAFF" w14:textId="77777777" w:rsidR="007C5A3C" w:rsidRPr="007C5A3C" w:rsidRDefault="007C5A3C" w:rsidP="007C5A3C">
      <w:pPr>
        <w:contextualSpacing/>
        <w:rPr>
          <w:rFonts w:ascii="ＭＳ 明朝" w:hAnsi="ＭＳ 明朝"/>
          <w:sz w:val="24"/>
        </w:rPr>
      </w:pPr>
    </w:p>
    <w:p w14:paraId="5AA13BCE"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３．入札時積算数量書等の数量について</w:t>
      </w:r>
    </w:p>
    <w:p w14:paraId="76803F80" w14:textId="77777777" w:rsidR="007C5A3C" w:rsidRPr="007C5A3C" w:rsidRDefault="007C5A3C" w:rsidP="008F521A">
      <w:pPr>
        <w:ind w:firstLineChars="100" w:firstLine="240"/>
        <w:contextualSpacing/>
        <w:rPr>
          <w:rFonts w:ascii="ＭＳ 明朝" w:hAnsi="ＭＳ 明朝"/>
          <w:sz w:val="24"/>
        </w:rPr>
      </w:pPr>
      <w:r w:rsidRPr="007C5A3C">
        <w:rPr>
          <w:rFonts w:ascii="ＭＳ 明朝" w:hAnsi="ＭＳ 明朝" w:hint="eastAsia"/>
          <w:sz w:val="24"/>
        </w:rPr>
        <w:t>数量については、「秋田県営繕工事積算基準」に基づき、「公共建築数量積算基準」及び「公共建築設備数量積算基準」の定めにより算出している。</w:t>
      </w:r>
    </w:p>
    <w:p w14:paraId="31110065" w14:textId="77777777" w:rsidR="007C5A3C" w:rsidRPr="007C5A3C" w:rsidRDefault="007C5A3C" w:rsidP="007C5A3C">
      <w:pPr>
        <w:contextualSpacing/>
        <w:rPr>
          <w:rFonts w:ascii="ＭＳ 明朝" w:hAnsi="ＭＳ 明朝"/>
          <w:sz w:val="24"/>
        </w:rPr>
      </w:pPr>
    </w:p>
    <w:p w14:paraId="7448F5EF"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４．提供する電子データについて</w:t>
      </w:r>
    </w:p>
    <w:p w14:paraId="2E0FCA76" w14:textId="1117A196" w:rsidR="007C5A3C" w:rsidRDefault="007C5A3C" w:rsidP="007C5A3C">
      <w:pPr>
        <w:contextualSpacing/>
        <w:rPr>
          <w:rFonts w:ascii="ＭＳ 明朝" w:hAnsi="ＭＳ 明朝"/>
          <w:sz w:val="24"/>
        </w:rPr>
      </w:pPr>
      <w:r w:rsidRPr="007C5A3C">
        <w:rPr>
          <w:rFonts w:ascii="ＭＳ 明朝" w:hAnsi="ＭＳ 明朝" w:hint="eastAsia"/>
          <w:sz w:val="24"/>
        </w:rPr>
        <w:t xml:space="preserve">　入札時積算数量書及び入札時積算数量書別紙明細共にMicrosoft Excel形式とする。</w:t>
      </w:r>
    </w:p>
    <w:p w14:paraId="529EC3EB" w14:textId="77777777" w:rsidR="007C5A3C" w:rsidRDefault="007C5A3C">
      <w:pPr>
        <w:widowControl/>
        <w:jc w:val="left"/>
        <w:rPr>
          <w:rFonts w:ascii="ＭＳ 明朝" w:hAnsi="ＭＳ 明朝"/>
          <w:sz w:val="24"/>
        </w:rPr>
      </w:pPr>
      <w:r>
        <w:rPr>
          <w:rFonts w:ascii="ＭＳ 明朝" w:hAnsi="ＭＳ 明朝"/>
          <w:sz w:val="24"/>
        </w:rPr>
        <w:br w:type="page"/>
      </w:r>
    </w:p>
    <w:p w14:paraId="131CFFE2"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lastRenderedPageBreak/>
        <w:t>（別紙３）</w:t>
      </w:r>
    </w:p>
    <w:p w14:paraId="5A9133D4" w14:textId="77777777" w:rsidR="007C5A3C" w:rsidRPr="007C5A3C" w:rsidRDefault="007C5A3C" w:rsidP="007C5A3C">
      <w:pPr>
        <w:contextualSpacing/>
        <w:rPr>
          <w:rFonts w:ascii="ＭＳ 明朝" w:hAnsi="ＭＳ 明朝"/>
          <w:sz w:val="24"/>
        </w:rPr>
      </w:pPr>
    </w:p>
    <w:p w14:paraId="0F7E24BC" w14:textId="77777777" w:rsidR="007C5A3C" w:rsidRPr="007C5A3C" w:rsidRDefault="007C5A3C" w:rsidP="007C5A3C">
      <w:pPr>
        <w:contextualSpacing/>
        <w:rPr>
          <w:rFonts w:ascii="ＭＳ 明朝" w:hAnsi="ＭＳ 明朝"/>
          <w:sz w:val="24"/>
        </w:rPr>
      </w:pPr>
      <w:r w:rsidRPr="007C5A3C">
        <w:rPr>
          <w:rFonts w:ascii="ＭＳ 明朝" w:hAnsi="ＭＳ 明朝" w:hint="eastAsia"/>
          <w:sz w:val="24"/>
        </w:rPr>
        <w:t>（入札時積算数量書に疑義が生じた場合における確認の請求等）</w:t>
      </w:r>
    </w:p>
    <w:p w14:paraId="7553F62B" w14:textId="77777777" w:rsidR="007C5A3C" w:rsidRPr="007C5A3C" w:rsidRDefault="007C5A3C" w:rsidP="008F521A">
      <w:pPr>
        <w:ind w:left="480" w:hangingChars="200" w:hanging="480"/>
        <w:contextualSpacing/>
        <w:rPr>
          <w:rFonts w:ascii="ＭＳ 明朝" w:hAnsi="ＭＳ 明朝"/>
          <w:sz w:val="24"/>
        </w:rPr>
      </w:pPr>
      <w:r w:rsidRPr="007C5A3C">
        <w:rPr>
          <w:rFonts w:ascii="ＭＳ 明朝" w:hAnsi="ＭＳ 明朝" w:hint="eastAsia"/>
          <w:sz w:val="24"/>
        </w:rPr>
        <w:t>第１８条の２　受注者は、入札時に発注者が示した入札時積算数量書（一式とされた細目（設計図書において施工条件が明示された項目を除く。）を除く。以下単に「入札時積算数量書」という。）に記載された積算数量に疑義が生じたときは、その旨を直ちに監督職員に通知し、その確認を請求することができる。ただし、当該疑義に係る積算数量の部分の工事が完了した場合、確認を求めることができないものとする。</w:t>
      </w:r>
    </w:p>
    <w:p w14:paraId="56DF36D9" w14:textId="77777777" w:rsidR="008F521A" w:rsidRDefault="007C5A3C" w:rsidP="008F521A">
      <w:pPr>
        <w:ind w:firstLineChars="100" w:firstLine="240"/>
        <w:contextualSpacing/>
        <w:rPr>
          <w:rFonts w:ascii="ＭＳ 明朝" w:hAnsi="ＭＳ 明朝"/>
          <w:sz w:val="24"/>
        </w:rPr>
      </w:pPr>
      <w:r w:rsidRPr="007C5A3C">
        <w:rPr>
          <w:rFonts w:ascii="ＭＳ 明朝" w:hAnsi="ＭＳ 明朝" w:hint="eastAsia"/>
          <w:sz w:val="24"/>
        </w:rPr>
        <w:t>２　前項の請求は、入札時積算数量書における当該疑義に係る積算数量と、こ</w:t>
      </w:r>
    </w:p>
    <w:p w14:paraId="023652D5"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れに対応する受注者が入札時に提出した見積内訳明細書における当該数量</w:t>
      </w:r>
    </w:p>
    <w:p w14:paraId="3117C077" w14:textId="4C4806B6"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が同一であると確認できた場合にのみ行うことができるものとする。</w:t>
      </w:r>
    </w:p>
    <w:p w14:paraId="2B738DDF" w14:textId="77777777" w:rsidR="008F521A" w:rsidRDefault="007C5A3C" w:rsidP="008F521A">
      <w:pPr>
        <w:ind w:firstLineChars="100" w:firstLine="240"/>
        <w:contextualSpacing/>
        <w:rPr>
          <w:rFonts w:ascii="ＭＳ 明朝" w:hAnsi="ＭＳ 明朝"/>
          <w:sz w:val="24"/>
        </w:rPr>
      </w:pPr>
      <w:r w:rsidRPr="007C5A3C">
        <w:rPr>
          <w:rFonts w:ascii="ＭＳ 明朝" w:hAnsi="ＭＳ 明朝" w:hint="eastAsia"/>
          <w:sz w:val="24"/>
        </w:rPr>
        <w:t>３　監督職員は、第１項の請求を受けたとき又は自ら入札時積算数量書に記載</w:t>
      </w:r>
    </w:p>
    <w:p w14:paraId="33C45BA0" w14:textId="77777777" w:rsidR="008F521A" w:rsidRDefault="008F521A" w:rsidP="008F521A">
      <w:pPr>
        <w:ind w:firstLineChars="100" w:firstLine="240"/>
        <w:contextualSpacing/>
        <w:rPr>
          <w:rFonts w:ascii="ＭＳ 明朝" w:hAnsi="ＭＳ 明朝"/>
          <w:sz w:val="24"/>
        </w:rPr>
      </w:pPr>
      <w:r>
        <w:rPr>
          <w:rFonts w:ascii="ＭＳ 明朝" w:hAnsi="ＭＳ 明朝" w:hint="eastAsia"/>
          <w:sz w:val="24"/>
        </w:rPr>
        <w:t xml:space="preserve">　</w:t>
      </w:r>
      <w:r w:rsidR="007C5A3C" w:rsidRPr="007C5A3C">
        <w:rPr>
          <w:rFonts w:ascii="ＭＳ 明朝" w:hAnsi="ＭＳ 明朝" w:hint="eastAsia"/>
          <w:sz w:val="24"/>
        </w:rPr>
        <w:t>された積算数量に誤謬又は脱漏を発見したときは、直ちに確認を行わなけれ</w:t>
      </w:r>
    </w:p>
    <w:p w14:paraId="773F5DFC" w14:textId="0A713329"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ばならない。</w:t>
      </w:r>
    </w:p>
    <w:p w14:paraId="6E8CE2EE" w14:textId="77777777" w:rsidR="008F521A" w:rsidRDefault="007C5A3C" w:rsidP="008F521A">
      <w:pPr>
        <w:ind w:firstLineChars="100" w:firstLine="240"/>
        <w:contextualSpacing/>
        <w:rPr>
          <w:rFonts w:ascii="ＭＳ 明朝" w:hAnsi="ＭＳ 明朝"/>
          <w:sz w:val="24"/>
        </w:rPr>
      </w:pPr>
      <w:r w:rsidRPr="007C5A3C">
        <w:rPr>
          <w:rFonts w:ascii="ＭＳ 明朝" w:hAnsi="ＭＳ 明朝" w:hint="eastAsia"/>
          <w:sz w:val="24"/>
        </w:rPr>
        <w:t>４　前項の確認の結果、入札時積算数量書の訂正の必要があると認められると</w:t>
      </w:r>
    </w:p>
    <w:p w14:paraId="550574B2" w14:textId="0EFBD7A7" w:rsidR="007C5A3C" w:rsidRPr="007C5A3C"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きは、発注者は、受注者と協議して、これを行わなければならない。</w:t>
      </w:r>
    </w:p>
    <w:p w14:paraId="5A57D495" w14:textId="77777777" w:rsidR="008F521A" w:rsidRDefault="007C5A3C" w:rsidP="008F521A">
      <w:pPr>
        <w:ind w:firstLineChars="100" w:firstLine="240"/>
        <w:contextualSpacing/>
        <w:rPr>
          <w:rFonts w:ascii="ＭＳ 明朝" w:hAnsi="ＭＳ 明朝"/>
          <w:sz w:val="24"/>
        </w:rPr>
      </w:pPr>
      <w:r w:rsidRPr="007C5A3C">
        <w:rPr>
          <w:rFonts w:ascii="ＭＳ 明朝" w:hAnsi="ＭＳ 明朝" w:hint="eastAsia"/>
          <w:sz w:val="24"/>
        </w:rPr>
        <w:t>５　前項の訂正が行われた場合において、発注者は、請負代金額の変更の必要</w:t>
      </w:r>
    </w:p>
    <w:p w14:paraId="64DE2A54"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があると認められるときは、第２４条に定めるところにより、当該変更を行</w:t>
      </w:r>
    </w:p>
    <w:p w14:paraId="4D065E11" w14:textId="77777777" w:rsidR="008F521A" w:rsidRDefault="007C5A3C" w:rsidP="008F521A">
      <w:pPr>
        <w:ind w:firstLineChars="200" w:firstLine="480"/>
        <w:contextualSpacing/>
        <w:rPr>
          <w:rFonts w:ascii="ＭＳ 明朝" w:hAnsi="ＭＳ 明朝"/>
          <w:sz w:val="24"/>
        </w:rPr>
      </w:pPr>
      <w:r w:rsidRPr="007C5A3C">
        <w:rPr>
          <w:rFonts w:ascii="ＭＳ 明朝" w:hAnsi="ＭＳ 明朝" w:hint="eastAsia"/>
          <w:sz w:val="24"/>
        </w:rPr>
        <w:t>うものとする。この場合における同条第１項の規定による協議は、訂正され</w:t>
      </w:r>
    </w:p>
    <w:p w14:paraId="23CD4808" w14:textId="3A0AD7D2" w:rsidR="00086488" w:rsidRPr="007C5A3C" w:rsidRDefault="007C5A3C" w:rsidP="008F521A">
      <w:pPr>
        <w:ind w:firstLineChars="200" w:firstLine="480"/>
        <w:contextualSpacing/>
      </w:pPr>
      <w:r w:rsidRPr="007C5A3C">
        <w:rPr>
          <w:rFonts w:ascii="ＭＳ 明朝" w:hAnsi="ＭＳ 明朝" w:hint="eastAsia"/>
          <w:sz w:val="24"/>
        </w:rPr>
        <w:t>た入札時積算数量書に記載された積算数量に基づき行うものとする。</w:t>
      </w:r>
    </w:p>
    <w:sectPr w:rsidR="00086488" w:rsidRPr="007C5A3C">
      <w:headerReference w:type="even" r:id="rId6"/>
      <w:headerReference w:type="default" r:id="rId7"/>
      <w:footerReference w:type="even" r:id="rId8"/>
      <w:footerReference w:type="default" r:id="rId9"/>
      <w:headerReference w:type="first" r:id="rId10"/>
      <w:footerReference w:type="first" r:id="rId11"/>
      <w:pgSz w:w="11906" w:h="16838"/>
      <w:pgMar w:top="1531" w:right="1673" w:bottom="1531" w:left="1644" w:header="720" w:footer="720" w:gutter="0"/>
      <w:cols w:space="720"/>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6C3C" w14:textId="77777777" w:rsidR="00AB250B" w:rsidRDefault="00AB250B">
      <w:pPr>
        <w:spacing w:after="0" w:line="240" w:lineRule="auto"/>
      </w:pPr>
      <w:r>
        <w:separator/>
      </w:r>
    </w:p>
  </w:endnote>
  <w:endnote w:type="continuationSeparator" w:id="0">
    <w:p w14:paraId="31016837" w14:textId="77777777" w:rsidR="00AB250B" w:rsidRDefault="00AB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EE2A" w14:textId="77777777" w:rsidR="00086488" w:rsidRDefault="000864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52B6" w14:textId="77777777" w:rsidR="00086488" w:rsidRDefault="00AB250B">
    <w:pPr>
      <w:pStyle w:val="a6"/>
      <w:jc w:val="center"/>
    </w:pPr>
    <w:r>
      <w:rPr>
        <w:rFonts w:hint="eastAsia"/>
      </w:rPr>
      <w:fldChar w:fldCharType="begin"/>
    </w:r>
    <w:r>
      <w:rPr>
        <w:rFonts w:hint="eastAsia"/>
      </w:rPr>
      <w:instrText xml:space="preserve">PAGE  \* MERGEFORMAT </w:instrText>
    </w:r>
    <w:r>
      <w:rPr>
        <w:rFonts w:hint="eastAsia"/>
      </w:rPr>
      <w:fldChar w:fldCharType="separate"/>
    </w:r>
    <w:r>
      <w:t>3</w:t>
    </w:r>
    <w:r>
      <w:rPr>
        <w:rFonts w:hint="eastAsia"/>
      </w:rPr>
      <w:fldChar w:fldCharType="end"/>
    </w:r>
  </w:p>
  <w:p w14:paraId="6555CF94" w14:textId="77777777" w:rsidR="00086488" w:rsidRDefault="000864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C0D6" w14:textId="77777777" w:rsidR="00086488" w:rsidRDefault="000864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9534" w14:textId="77777777" w:rsidR="00AB250B" w:rsidRDefault="00AB250B">
      <w:pPr>
        <w:spacing w:after="0" w:line="240" w:lineRule="auto"/>
      </w:pPr>
      <w:r>
        <w:separator/>
      </w:r>
    </w:p>
  </w:footnote>
  <w:footnote w:type="continuationSeparator" w:id="0">
    <w:p w14:paraId="3B8A16C2" w14:textId="77777777" w:rsidR="00AB250B" w:rsidRDefault="00AB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5223" w14:textId="77777777" w:rsidR="00086488" w:rsidRDefault="000864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2297" w14:textId="77777777" w:rsidR="00086488" w:rsidRDefault="0008648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85BA" w14:textId="77777777" w:rsidR="00086488" w:rsidRDefault="000864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86488"/>
    <w:rsid w:val="00011A7B"/>
    <w:rsid w:val="00086488"/>
    <w:rsid w:val="00123463"/>
    <w:rsid w:val="002A7595"/>
    <w:rsid w:val="004B5DDF"/>
    <w:rsid w:val="007C5A3C"/>
    <w:rsid w:val="007D1EE8"/>
    <w:rsid w:val="0087658F"/>
    <w:rsid w:val="008C550D"/>
    <w:rsid w:val="008F521A"/>
    <w:rsid w:val="00AB250B"/>
    <w:rsid w:val="00D5391B"/>
    <w:rsid w:val="00F477E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832B4"/>
  <w15:chartTrackingRefBased/>
  <w15:docId w15:val="{613584A0-45D8-47D5-83F1-0E5BCA46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2036</TotalTime>
  <Pages>6</Pages>
  <Words>672</Words>
  <Characters>3836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営繕工事設計者業務執行能力評価要領</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営繕工事設計者業務執行能力評価要領</dc:title>
  <dc:creator>鈴木　清施</dc:creator>
  <cp:lastModifiedBy>高橋　直也</cp:lastModifiedBy>
  <cp:revision>24</cp:revision>
  <cp:lastPrinted>2020-03-24T02:48:00Z</cp:lastPrinted>
  <dcterms:created xsi:type="dcterms:W3CDTF">2020-01-26T23:40:00Z</dcterms:created>
  <dcterms:modified xsi:type="dcterms:W3CDTF">2025-03-18T06:27:00Z</dcterms:modified>
</cp:coreProperties>
</file>