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color w:val="auto"/>
          <w:sz w:val="24"/>
          <w:u w:val="none" w:color="auto"/>
        </w:rPr>
      </w:pPr>
      <w:r>
        <w:rPr>
          <w:rFonts w:hint="default" w:ascii="ＭＳ 明朝" w:hAnsi="ＭＳ 明朝"/>
          <w:color w:val="auto"/>
          <w:sz w:val="24"/>
          <w:u w:val="none" w:color="auto"/>
        </w:rPr>
        <w:t>秋田県営繕工事における入札時積算数量書活用方式</w:t>
      </w:r>
      <w:r>
        <w:rPr>
          <w:rFonts w:hint="eastAsia" w:ascii="ＭＳ 明朝" w:hAnsi="ＭＳ 明朝"/>
          <w:color w:val="auto"/>
          <w:sz w:val="24"/>
          <w:u w:val="none" w:color="auto"/>
        </w:rPr>
        <w:t>の実施に係る試行</w:t>
      </w:r>
      <w:bookmarkStart w:id="0" w:name="_GoBack"/>
      <w:bookmarkEnd w:id="0"/>
      <w:r>
        <w:rPr>
          <w:rFonts w:hint="eastAsia" w:ascii="ＭＳ 明朝" w:hAnsi="ＭＳ 明朝"/>
          <w:color w:val="auto"/>
          <w:sz w:val="24"/>
          <w:u w:val="none" w:color="auto"/>
        </w:rPr>
        <w:t>運用</w:t>
      </w:r>
    </w:p>
    <w:p>
      <w:pPr>
        <w:pStyle w:val="0"/>
        <w:autoSpaceDE w:val="0"/>
        <w:autoSpaceDN w:val="0"/>
        <w:adjustRightInd w:val="0"/>
        <w:jc w:val="center"/>
        <w:rPr>
          <w:rFonts w:hint="default" w:ascii="ＭＳ 明朝" w:hAnsi="ＭＳ 明朝"/>
          <w:color w:val="auto"/>
          <w:sz w:val="24"/>
          <w:u w:val="none" w:color="auto"/>
        </w:rPr>
      </w:pPr>
    </w:p>
    <w:p>
      <w:pPr>
        <w:pStyle w:val="0"/>
        <w:autoSpaceDE w:val="0"/>
        <w:autoSpaceDN w:val="0"/>
        <w:adjustRightInd w:val="0"/>
        <w:jc w:val="center"/>
        <w:rPr>
          <w:rFonts w:hint="default" w:ascii="ＭＳ 明朝" w:hAnsi="ＭＳ 明朝"/>
          <w:color w:val="auto"/>
          <w:sz w:val="24"/>
          <w:u w:val="none" w:color="auto"/>
        </w:rPr>
      </w:pP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１．入札時積算数量書の訂正に伴う工事費の積算</w:t>
      </w:r>
    </w:p>
    <w:p>
      <w:pPr>
        <w:pStyle w:val="0"/>
        <w:autoSpaceDE w:val="0"/>
        <w:autoSpaceDN w:val="0"/>
        <w:adjustRightInd w:val="0"/>
        <w:jc w:val="left"/>
        <w:rPr>
          <w:rFonts w:hint="default" w:ascii="ＭＳ明朝" w:hAnsi="ＭＳ明朝" w:eastAsia="ＭＳ明朝"/>
          <w:color w:val="auto"/>
          <w:u w:val="none" w:color="auto"/>
        </w:rPr>
      </w:pPr>
    </w:p>
    <w:p>
      <w:pPr>
        <w:pStyle w:val="0"/>
        <w:autoSpaceDE w:val="0"/>
        <w:autoSpaceDN w:val="0"/>
        <w:adjustRightInd w:val="0"/>
        <w:ind w:left="480" w:hanging="480" w:hangingChars="20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（１）入札時積算数量書の訂正に伴う工事費の積算は、</w:t>
      </w:r>
      <w:r>
        <w:rPr>
          <w:rFonts w:hint="eastAsia" w:ascii="ＭＳ明朝" w:hAnsi="ＭＳ明朝" w:eastAsia="ＭＳ明朝"/>
          <w:strike w:val="0"/>
          <w:dstrike w:val="0"/>
          <w:color w:val="auto"/>
          <w:sz w:val="24"/>
          <w:u w:val="none" w:color="auto"/>
        </w:rPr>
        <w:t>秋田県営繕</w:t>
      </w:r>
      <w:r>
        <w:rPr>
          <w:rFonts w:hint="default" w:ascii="ＭＳ明朝" w:hAnsi="ＭＳ明朝" w:eastAsia="ＭＳ明朝"/>
          <w:color w:val="auto"/>
          <w:sz w:val="24"/>
          <w:u w:val="none" w:color="auto"/>
        </w:rPr>
        <w:t>工事積算基準第８</w:t>
      </w:r>
      <w:r>
        <w:rPr>
          <w:rFonts w:hint="eastAsia" w:ascii="ＭＳ 明朝" w:hAnsi="ＭＳ 明朝" w:eastAsia="ＭＳ 明朝"/>
          <w:color w:val="auto"/>
          <w:kern w:val="0"/>
          <w:sz w:val="24"/>
          <w:u w:val="none" w:color="auto"/>
        </w:rPr>
        <w:t>（その他）（１）設計変更</w:t>
      </w:r>
      <w:r>
        <w:rPr>
          <w:rFonts w:hint="default" w:ascii="ＭＳ明朝" w:hAnsi="ＭＳ明朝" w:eastAsia="ＭＳ明朝"/>
          <w:color w:val="auto"/>
          <w:sz w:val="24"/>
          <w:u w:val="none" w:color="auto"/>
        </w:rPr>
        <w:t>の規定に準じるものとする。</w:t>
      </w:r>
    </w:p>
    <w:p>
      <w:pPr>
        <w:pStyle w:val="0"/>
        <w:autoSpaceDE w:val="0"/>
        <w:autoSpaceDN w:val="0"/>
        <w:adjustRightInd w:val="0"/>
        <w:ind w:left="480" w:hanging="480" w:hangingChars="20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（２）入札時積算数量書の訂正に伴う工事費の積算における共通費の算定は、</w:t>
      </w:r>
      <w:r>
        <w:rPr>
          <w:rFonts w:hint="eastAsia" w:ascii="ＭＳ明朝" w:hAnsi="ＭＳ明朝" w:eastAsia="ＭＳ明朝"/>
          <w:strike w:val="0"/>
          <w:dstrike w:val="0"/>
          <w:color w:val="auto"/>
          <w:sz w:val="24"/>
          <w:u w:val="none" w:color="auto"/>
        </w:rPr>
        <w:t>秋田県営繕</w:t>
      </w:r>
      <w:r>
        <w:rPr>
          <w:rFonts w:hint="default" w:ascii="ＭＳ明朝" w:hAnsi="ＭＳ明朝" w:eastAsia="ＭＳ明朝"/>
          <w:color w:val="auto"/>
          <w:sz w:val="24"/>
          <w:u w:val="none" w:color="auto"/>
        </w:rPr>
        <w:t>工事共通費積算基準</w:t>
      </w:r>
      <w:r>
        <w:rPr>
          <w:rFonts w:hint="eastAsia" w:ascii="ＭＳ明朝" w:hAnsi="ＭＳ明朝" w:eastAsia="ＭＳ明朝"/>
          <w:strike w:val="0"/>
          <w:dstrike w:val="0"/>
          <w:color w:val="auto"/>
          <w:sz w:val="24"/>
          <w:u w:val="none" w:color="auto"/>
        </w:rPr>
        <w:t>第５（共通費）</w:t>
      </w:r>
      <w:r>
        <w:rPr>
          <w:rFonts w:hint="default" w:ascii="ＭＳ明朝" w:hAnsi="ＭＳ明朝" w:eastAsia="ＭＳ明朝"/>
          <w:color w:val="auto"/>
          <w:sz w:val="24"/>
          <w:u w:val="none" w:color="auto"/>
        </w:rPr>
        <w:t>の規定に準じるものとする。</w:t>
      </w:r>
    </w:p>
    <w:p>
      <w:pPr>
        <w:pStyle w:val="0"/>
        <w:autoSpaceDE w:val="0"/>
        <w:autoSpaceDN w:val="0"/>
        <w:adjustRightInd w:val="0"/>
        <w:ind w:left="480" w:hanging="480" w:hangingChars="20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（３）入札時積算数量書の訂正に伴う工事費の積算に用いる単価及び価格は、</w:t>
      </w:r>
      <w:r>
        <w:rPr>
          <w:rFonts w:hint="eastAsia" w:ascii="ＭＳ明朝" w:hAnsi="ＭＳ明朝" w:eastAsia="ＭＳ明朝"/>
          <w:strike w:val="0"/>
          <w:dstrike w:val="0"/>
          <w:color w:val="auto"/>
          <w:sz w:val="24"/>
          <w:u w:val="none" w:color="auto"/>
        </w:rPr>
        <w:t>秋田県営繕工事単価決定要領</w:t>
      </w:r>
      <w:r>
        <w:rPr>
          <w:rFonts w:hint="default" w:ascii="ＭＳ明朝" w:hAnsi="ＭＳ明朝" w:eastAsia="ＭＳ明朝"/>
          <w:color w:val="auto"/>
          <w:sz w:val="24"/>
          <w:u w:val="none" w:color="auto"/>
        </w:rPr>
        <w:t>の規定に準じるものとする。</w:t>
      </w:r>
    </w:p>
    <w:p>
      <w:pPr>
        <w:pStyle w:val="0"/>
        <w:autoSpaceDE w:val="0"/>
        <w:autoSpaceDN w:val="0"/>
        <w:adjustRightInd w:val="0"/>
        <w:ind w:left="0" w:hangingChars="200" w:firstLine="0"/>
        <w:jc w:val="left"/>
        <w:rPr>
          <w:rFonts w:hint="eastAsia" w:ascii="ＭＳ 明朝" w:hAnsi="ＭＳ 明朝"/>
          <w:color w:val="auto"/>
          <w:sz w:val="24"/>
          <w:u w:val="none" w:color="auto"/>
        </w:rPr>
      </w:pPr>
      <w:r>
        <w:rPr>
          <w:rFonts w:hint="default" w:ascii="ＭＳ明朝" w:hAnsi="ＭＳ明朝" w:eastAsia="ＭＳ明朝"/>
          <w:color w:val="auto"/>
          <w:sz w:val="24"/>
          <w:u w:val="none" w:color="auto"/>
        </w:rPr>
        <w:t>（４）入札時積算数量書の訂正に伴う工事費の積算に用いる数量は、入札時積算数量書の訂正の対象となった積算数量及び当該積算数量に関連する項目の、訂正後の積算数量における訂正分の数量とする。</w:t>
      </w:r>
    </w:p>
    <w:p>
      <w:pPr>
        <w:pStyle w:val="0"/>
        <w:autoSpaceDE w:val="0"/>
        <w:autoSpaceDN w:val="0"/>
        <w:adjustRightInd w:val="0"/>
        <w:jc w:val="left"/>
        <w:rPr>
          <w:rFonts w:hint="eastAsia" w:ascii="ＭＳ 明朝" w:hAnsi="ＭＳ 明朝"/>
          <w:color w:val="auto"/>
          <w:sz w:val="24"/>
          <w:u w:val="none" w:color="auto"/>
        </w:rPr>
      </w:pP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２．入札時積算数量書別紙明細の公開等</w:t>
      </w:r>
    </w:p>
    <w:p>
      <w:pPr>
        <w:pStyle w:val="0"/>
        <w:autoSpaceDE w:val="0"/>
        <w:autoSpaceDN w:val="0"/>
        <w:adjustRightInd w:val="0"/>
        <w:jc w:val="left"/>
        <w:rPr>
          <w:rFonts w:hint="default" w:ascii="ＭＳ明朝" w:hAnsi="ＭＳ明朝" w:eastAsia="ＭＳ明朝"/>
          <w:color w:val="auto"/>
          <w:u w:val="none" w:color="auto"/>
        </w:rPr>
      </w:pP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（１）入札時積算数量書別紙明細について</w:t>
      </w:r>
    </w:p>
    <w:p>
      <w:pPr>
        <w:pStyle w:val="0"/>
        <w:autoSpaceDE w:val="0"/>
        <w:autoSpaceDN w:val="0"/>
        <w:adjustRightInd w:val="0"/>
        <w:ind w:left="420" w:leftChars="200" w:firstLine="240" w:firstLineChars="10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入札時積算数量書別紙明細」とは、入札時積算数量書の細目別内訳において数量を一式としている細目のうち、必要に応じて別途作成される当該細目の根拠となる名称、数量及び単位を取りまとめて示す書面（電磁的記録に記録されたものを含む）。また、入札時積算数量書において、数量を一式としている共通仮設費、現場管理費及び一般管理費等について、必要に応じて別途作成される各費用の根拠となる名称、数量及び単位を取りまとめて示す共通仮設費明細書、現場管理費明細書及び一般管理費等明細書を含むものとする。ただし、数量基準において数量算出の方法が規定されていないものは除くことができる。</w:t>
      </w: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（２）入札時積算数量書別紙明細の公開</w:t>
      </w:r>
    </w:p>
    <w:p>
      <w:pPr>
        <w:pStyle w:val="0"/>
        <w:autoSpaceDE w:val="0"/>
        <w:autoSpaceDN w:val="0"/>
        <w:adjustRightInd w:val="0"/>
        <w:ind w:left="420" w:leftChars="200" w:firstLine="240" w:firstLineChars="10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「入札時積算数量書別紙明細」は、全て公開するものとする。なお、原則として見積りを行うために必要な図面及び仕様書に併せて公開するものとする。</w:t>
      </w: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（３）入札時積算数量書別紙明細の取扱い</w:t>
      </w:r>
    </w:p>
    <w:p>
      <w:pPr>
        <w:pStyle w:val="0"/>
        <w:autoSpaceDE w:val="0"/>
        <w:autoSpaceDN w:val="0"/>
        <w:adjustRightInd w:val="0"/>
        <w:ind w:left="420" w:leftChars="200" w:firstLine="240" w:firstLineChars="100"/>
        <w:jc w:val="left"/>
        <w:rPr>
          <w:rFonts w:hint="eastAsia" w:ascii="ＭＳ 明朝" w:hAnsi="ＭＳ 明朝"/>
          <w:color w:val="auto"/>
          <w:sz w:val="24"/>
          <w:u w:val="none" w:color="auto"/>
        </w:rPr>
      </w:pPr>
      <w:r>
        <w:rPr>
          <w:rFonts w:hint="default" w:ascii="ＭＳ明朝" w:hAnsi="ＭＳ明朝" w:eastAsia="ＭＳ明朝"/>
          <w:color w:val="auto"/>
          <w:sz w:val="24"/>
          <w:u w:val="none" w:color="auto"/>
        </w:rPr>
        <w:t>「入札時積算数量書別紙明細」は、入札参加者の適切かつ迅速な見積りに資するための参考</w:t>
      </w:r>
      <w:r>
        <w:rPr>
          <w:rFonts w:hint="eastAsia" w:ascii="ＭＳ明朝" w:hAnsi="ＭＳ明朝" w:eastAsia="ＭＳ明朝"/>
          <w:strike w:val="0"/>
          <w:dstrike w:val="0"/>
          <w:color w:val="auto"/>
          <w:sz w:val="24"/>
          <w:u w:val="none" w:color="auto"/>
        </w:rPr>
        <w:t>図書</w:t>
      </w:r>
      <w:r>
        <w:rPr>
          <w:rFonts w:hint="default" w:ascii="ＭＳ明朝" w:hAnsi="ＭＳ明朝" w:eastAsia="ＭＳ明朝"/>
          <w:color w:val="auto"/>
          <w:sz w:val="24"/>
          <w:u w:val="none" w:color="auto"/>
        </w:rPr>
        <w:t>であり、契約</w:t>
      </w:r>
      <w:r>
        <w:rPr>
          <w:rFonts w:hint="eastAsia" w:ascii="ＭＳ明朝" w:hAnsi="ＭＳ明朝" w:eastAsia="ＭＳ明朝"/>
          <w:strike w:val="0"/>
          <w:dstrike w:val="0"/>
          <w:color w:val="auto"/>
          <w:sz w:val="24"/>
          <w:u w:val="none" w:color="auto"/>
        </w:rPr>
        <w:t>事項</w:t>
      </w:r>
      <w:r>
        <w:rPr>
          <w:rFonts w:hint="default" w:ascii="ＭＳ明朝" w:hAnsi="ＭＳ明朝" w:eastAsia="ＭＳ明朝"/>
          <w:color w:val="auto"/>
          <w:sz w:val="24"/>
          <w:u w:val="none" w:color="auto"/>
        </w:rPr>
        <w:t>第１条にいう設計図書及び第</w:t>
      </w:r>
      <w:r>
        <w:rPr>
          <w:rFonts w:hint="eastAsia" w:ascii="ＭＳ明朝" w:hAnsi="ＭＳ明朝" w:eastAsia="ＭＳ明朝"/>
          <w:color w:val="auto"/>
          <w:sz w:val="24"/>
          <w:u w:val="none" w:color="auto"/>
        </w:rPr>
        <w:t>１８</w:t>
      </w:r>
      <w:r>
        <w:rPr>
          <w:rFonts w:hint="default" w:ascii="ＭＳ明朝" w:hAnsi="ＭＳ明朝" w:eastAsia="ＭＳ明朝"/>
          <w:color w:val="auto"/>
          <w:sz w:val="24"/>
          <w:u w:val="none" w:color="auto"/>
        </w:rPr>
        <w:t>条の２にいう入札時積算数量書ではない。</w:t>
      </w:r>
    </w:p>
    <w:p>
      <w:pPr>
        <w:pStyle w:val="0"/>
        <w:autoSpaceDE w:val="0"/>
        <w:autoSpaceDN w:val="0"/>
        <w:adjustRightInd w:val="0"/>
        <w:jc w:val="left"/>
        <w:rPr>
          <w:rFonts w:hint="eastAsia" w:ascii="ＭＳ 明朝" w:hAnsi="ＭＳ 明朝"/>
          <w:color w:val="auto"/>
          <w:sz w:val="24"/>
          <w:u w:val="none" w:color="auto"/>
        </w:rPr>
      </w:pP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３．設計変更における積算数量書の提示等</w:t>
      </w:r>
    </w:p>
    <w:p>
      <w:pPr>
        <w:pStyle w:val="0"/>
        <w:autoSpaceDE w:val="0"/>
        <w:autoSpaceDN w:val="0"/>
        <w:adjustRightInd w:val="0"/>
        <w:jc w:val="left"/>
        <w:rPr>
          <w:rFonts w:hint="default" w:ascii="ＭＳ明朝" w:hAnsi="ＭＳ明朝" w:eastAsia="ＭＳ明朝"/>
          <w:color w:val="auto"/>
          <w:u w:val="none" w:color="auto"/>
        </w:rPr>
      </w:pP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（１）設計変更における積算数量書について</w:t>
      </w:r>
    </w:p>
    <w:p>
      <w:pPr>
        <w:pStyle w:val="0"/>
        <w:autoSpaceDE w:val="0"/>
        <w:autoSpaceDN w:val="0"/>
        <w:adjustRightInd w:val="0"/>
        <w:ind w:left="630" w:leftChars="300" w:firstLine="240" w:firstLineChars="10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契約</w:t>
      </w:r>
      <w:r>
        <w:rPr>
          <w:rFonts w:hint="eastAsia" w:ascii="ＭＳ明朝" w:hAnsi="ＭＳ明朝" w:eastAsia="ＭＳ明朝"/>
          <w:strike w:val="0"/>
          <w:dstrike w:val="0"/>
          <w:color w:val="auto"/>
          <w:sz w:val="24"/>
          <w:u w:val="none" w:color="auto"/>
        </w:rPr>
        <w:t>事項</w:t>
      </w:r>
      <w:r>
        <w:rPr>
          <w:rFonts w:hint="default" w:ascii="ＭＳ明朝" w:hAnsi="ＭＳ明朝" w:eastAsia="ＭＳ明朝"/>
          <w:color w:val="auto"/>
          <w:sz w:val="24"/>
          <w:u w:val="none" w:color="auto"/>
        </w:rPr>
        <w:t>第</w:t>
      </w:r>
      <w:r>
        <w:rPr>
          <w:rFonts w:hint="eastAsia" w:ascii="ＭＳ明朝" w:hAnsi="ＭＳ明朝" w:eastAsia="ＭＳ明朝"/>
          <w:color w:val="auto"/>
          <w:sz w:val="24"/>
          <w:u w:val="none" w:color="auto"/>
        </w:rPr>
        <w:t>１８</w:t>
      </w:r>
      <w:r>
        <w:rPr>
          <w:rFonts w:hint="default" w:ascii="ＭＳ明朝" w:hAnsi="ＭＳ明朝" w:eastAsia="ＭＳ明朝"/>
          <w:color w:val="auto"/>
          <w:sz w:val="24"/>
          <w:u w:val="none" w:color="auto"/>
        </w:rPr>
        <w:t>条及び第</w:t>
      </w:r>
      <w:r>
        <w:rPr>
          <w:rFonts w:hint="eastAsia" w:ascii="ＭＳ明朝" w:hAnsi="ＭＳ明朝" w:eastAsia="ＭＳ明朝"/>
          <w:color w:val="auto"/>
          <w:sz w:val="24"/>
          <w:u w:val="none" w:color="auto"/>
        </w:rPr>
        <w:t>１９</w:t>
      </w:r>
      <w:r>
        <w:rPr>
          <w:rFonts w:hint="default" w:ascii="ＭＳ明朝" w:hAnsi="ＭＳ明朝" w:eastAsia="ＭＳ明朝"/>
          <w:color w:val="auto"/>
          <w:sz w:val="24"/>
          <w:u w:val="none" w:color="auto"/>
        </w:rPr>
        <w:t>条の規定により行われる設計図書の訂正又は変更に伴う請負代金額の変更（以下「設計変更」という。）における積算数量書は、</w:t>
      </w:r>
      <w:r>
        <w:rPr>
          <w:rFonts w:hint="eastAsia" w:ascii="ＭＳ明朝" w:hAnsi="ＭＳ明朝" w:eastAsia="ＭＳ明朝"/>
          <w:strike w:val="0"/>
          <w:dstrike w:val="0"/>
          <w:color w:val="auto"/>
          <w:sz w:val="24"/>
        </w:rPr>
        <w:t>秋田県営繕</w:t>
      </w:r>
      <w:r>
        <w:rPr>
          <w:rFonts w:hint="default" w:ascii="ＭＳ明朝" w:hAnsi="ＭＳ明朝" w:eastAsia="ＭＳ明朝"/>
          <w:strike w:val="0"/>
          <w:dstrike w:val="0"/>
          <w:color w:val="auto"/>
          <w:sz w:val="24"/>
        </w:rPr>
        <w:t>工事積算基準第</w:t>
      </w:r>
      <w:r>
        <w:rPr>
          <w:rFonts w:hint="eastAsia" w:ascii="ＭＳ明朝" w:hAnsi="ＭＳ明朝" w:eastAsia="ＭＳ明朝"/>
          <w:strike w:val="0"/>
          <w:dstrike w:val="0"/>
          <w:color w:val="auto"/>
          <w:sz w:val="24"/>
        </w:rPr>
        <w:t>３</w:t>
      </w:r>
      <w:r>
        <w:rPr>
          <w:rFonts w:hint="eastAsia" w:ascii="ＭＳ 明朝" w:hAnsi="ＭＳ 明朝" w:eastAsia="ＭＳ 明朝"/>
          <w:color w:val="auto"/>
          <w:sz w:val="24"/>
        </w:rPr>
        <w:t>に定める「公共建築工事内訳書標準書式」に準じて</w:t>
      </w:r>
      <w:r>
        <w:rPr>
          <w:rFonts w:hint="default" w:ascii="ＭＳ明朝" w:hAnsi="ＭＳ明朝" w:eastAsia="ＭＳ明朝"/>
          <w:color w:val="auto"/>
          <w:sz w:val="24"/>
          <w:u w:val="none" w:color="auto"/>
        </w:rPr>
        <w:t>作成した種目別内訳、科目別内訳、中科目別内訳及び細目別内訳の名称、数量及び単位を表示するものとして、設計変更の対象となる積算数量をとりまとめたものをいう。</w:t>
      </w: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（２）設計変更における積算数量書の提示</w:t>
      </w:r>
    </w:p>
    <w:p>
      <w:pPr>
        <w:pStyle w:val="0"/>
        <w:autoSpaceDE w:val="0"/>
        <w:autoSpaceDN w:val="0"/>
        <w:adjustRightInd w:val="0"/>
        <w:ind w:firstLine="960" w:firstLineChars="40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設計変更における積算数量書を受注者に提示するものとする。</w:t>
      </w:r>
    </w:p>
    <w:p>
      <w:pPr>
        <w:pStyle w:val="0"/>
        <w:autoSpaceDE w:val="0"/>
        <w:autoSpaceDN w:val="0"/>
        <w:adjustRightInd w:val="0"/>
        <w:jc w:val="left"/>
        <w:rPr>
          <w:rFonts w:hint="default" w:ascii="ＭＳ明朝" w:hAnsi="ＭＳ明朝" w:eastAsia="ＭＳ明朝"/>
          <w:color w:val="auto"/>
          <w:u w:val="none" w:color="auto"/>
        </w:rPr>
      </w:pPr>
      <w:r>
        <w:rPr>
          <w:rFonts w:hint="default" w:ascii="ＭＳ明朝" w:hAnsi="ＭＳ明朝" w:eastAsia="ＭＳ明朝"/>
          <w:color w:val="auto"/>
          <w:sz w:val="24"/>
          <w:u w:val="none" w:color="auto"/>
        </w:rPr>
        <w:t>（３）設計変更における積算数量書の取扱い</w:t>
      </w:r>
    </w:p>
    <w:p>
      <w:pPr>
        <w:pStyle w:val="0"/>
        <w:autoSpaceDE w:val="0"/>
        <w:autoSpaceDN w:val="0"/>
        <w:adjustRightInd w:val="0"/>
        <w:ind w:left="630" w:leftChars="300" w:firstLine="240" w:firstLineChars="100"/>
        <w:jc w:val="left"/>
        <w:rPr>
          <w:rFonts w:hint="eastAsia" w:ascii="ＭＳ 明朝" w:hAnsi="ＭＳ 明朝"/>
          <w:color w:val="000000"/>
          <w:sz w:val="24"/>
        </w:rPr>
      </w:pPr>
      <w:r>
        <w:rPr>
          <w:rFonts w:hint="default" w:ascii="ＭＳ明朝" w:hAnsi="ＭＳ明朝" w:eastAsia="ＭＳ明朝"/>
          <w:color w:val="auto"/>
          <w:sz w:val="24"/>
          <w:u w:val="none" w:color="auto"/>
        </w:rPr>
        <w:t>設計変更における積算数量書は、適正な設計変更に資するための参考</w:t>
      </w:r>
      <w:r>
        <w:rPr>
          <w:rFonts w:hint="eastAsia" w:ascii="ＭＳ明朝" w:hAnsi="ＭＳ明朝" w:eastAsia="ＭＳ明朝"/>
          <w:color w:val="auto"/>
          <w:sz w:val="24"/>
          <w:u w:val="none" w:color="auto"/>
        </w:rPr>
        <w:t>図書</w:t>
      </w:r>
      <w:r>
        <w:rPr>
          <w:rFonts w:hint="default" w:ascii="ＭＳ明朝" w:hAnsi="ＭＳ明朝" w:eastAsia="ＭＳ明朝"/>
          <w:color w:val="auto"/>
          <w:sz w:val="24"/>
          <w:u w:val="none" w:color="auto"/>
        </w:rPr>
        <w:t>であり、契約</w:t>
      </w:r>
      <w:r>
        <w:rPr>
          <w:rFonts w:hint="eastAsia" w:ascii="ＭＳ明朝" w:hAnsi="ＭＳ明朝" w:eastAsia="ＭＳ明朝"/>
          <w:strike w:val="0"/>
          <w:dstrike w:val="0"/>
          <w:color w:val="auto"/>
          <w:sz w:val="24"/>
          <w:u w:val="none" w:color="auto"/>
        </w:rPr>
        <w:t>事項</w:t>
      </w:r>
      <w:r>
        <w:rPr>
          <w:rFonts w:hint="default" w:ascii="ＭＳ明朝" w:hAnsi="ＭＳ明朝" w:eastAsia="ＭＳ明朝"/>
          <w:color w:val="auto"/>
          <w:sz w:val="24"/>
          <w:u w:val="none" w:color="auto"/>
        </w:rPr>
        <w:t>第１条にいう設計図書及び第</w:t>
      </w:r>
      <w:r>
        <w:rPr>
          <w:rFonts w:hint="eastAsia" w:ascii="ＭＳ明朝" w:hAnsi="ＭＳ明朝" w:eastAsia="ＭＳ明朝"/>
          <w:color w:val="auto"/>
          <w:sz w:val="24"/>
          <w:u w:val="none" w:color="auto"/>
        </w:rPr>
        <w:t>１８</w:t>
      </w:r>
      <w:r>
        <w:rPr>
          <w:rFonts w:hint="default" w:ascii="ＭＳ明朝" w:hAnsi="ＭＳ明朝" w:eastAsia="ＭＳ明朝"/>
          <w:color w:val="auto"/>
          <w:sz w:val="24"/>
          <w:u w:val="none" w:color="auto"/>
        </w:rPr>
        <w:t>条の２にいう入札時積算数量書ではない。</w:t>
      </w:r>
    </w:p>
    <w:p>
      <w:pPr>
        <w:pStyle w:val="0"/>
        <w:rPr>
          <w:rFonts w:hint="eastAsia" w:ascii="ＭＳ 明朝" w:hAnsi="ＭＳ 明朝"/>
          <w:color w:val="auto"/>
          <w:sz w:val="24"/>
          <w:u w:val="none" w:color="auto"/>
        </w:rPr>
      </w:pPr>
    </w:p>
    <w:sectPr>
      <w:headerReference r:id="rId6" w:type="even"/>
      <w:headerReference r:id="rId7" w:type="default"/>
      <w:footerReference r:id="rId9" w:type="even"/>
      <w:footerReference r:id="rId10" w:type="default"/>
      <w:headerReference r:id="rId5" w:type="first"/>
      <w:footerReference r:id="rId8" w:type="first"/>
      <w:pgSz w:w="11906" w:h="16838"/>
      <w:pgMar w:top="1531" w:right="1673" w:bottom="1531" w:left="1644" w:header="720" w:footer="720" w:gutter="0"/>
      <w:cols w:space="720"/>
      <w:textDirection w:val="lrTb"/>
      <w:docGrid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9" w:lineRule="exact"/>
      <w:jc w:val="both"/>
    </w:pPr>
    <w:rPr>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Revision"/>
    <w:next w:val="22"/>
    <w:link w:val="0"/>
    <w:uiPriority w:val="0"/>
    <w:rPr>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paragraph" w:styleId="25">
    <w:name w:val="List Paragraph"/>
    <w:basedOn w:val="0"/>
    <w:next w:val="25"/>
    <w:link w:val="0"/>
    <w:uiPriority w:val="0"/>
    <w:qFormat/>
    <w:pPr>
      <w:ind w:left="840" w:leftChars="400"/>
    </w:p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2296</TotalTime>
  <Pages>2</Pages>
  <Words>0</Words>
  <Characters>1213</Characters>
  <Application>JUST Note</Application>
  <Lines>52</Lines>
  <Paragraphs>20</Paragraphs>
  <CharactersWithSpaces>1213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営繕工事設計者業務執行能力評価要領</dc:title>
  <dc:creator>鈴木　清施</dc:creator>
  <cp:lastModifiedBy>鈴木　清施</cp:lastModifiedBy>
  <cp:lastPrinted>2020-03-24T02:49:30Z</cp:lastPrinted>
  <dcterms:created xsi:type="dcterms:W3CDTF">2020-01-26T23:40:00Z</dcterms:created>
  <dcterms:modified xsi:type="dcterms:W3CDTF">2020-03-24T06:25:02Z</dcterms:modified>
  <cp:revision>22</cp:revision>
</cp:coreProperties>
</file>