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CF0FB1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988B261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